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78F2" w:rsidRPr="00DD78F2" w:rsidRDefault="00DD78F2" w:rsidP="00DD78F2">
      <w:pPr>
        <w:spacing w:before="240" w:after="240" w:line="270" w:lineRule="atLeast"/>
        <w:outlineLvl w:val="2"/>
        <w:rPr>
          <w:rFonts w:ascii="Segoe UI" w:eastAsia="Times New Roman" w:hAnsi="Segoe UI" w:cs="Segoe UI"/>
          <w:b/>
          <w:bCs/>
          <w:color w:val="333333"/>
          <w:sz w:val="23"/>
          <w:szCs w:val="23"/>
          <w:lang w:eastAsia="es-ES"/>
        </w:rPr>
      </w:pPr>
      <w:r w:rsidRPr="00DD78F2">
        <w:rPr>
          <w:rFonts w:ascii="Segoe UI" w:eastAsia="Times New Roman" w:hAnsi="Segoe UI" w:cs="Segoe UI"/>
          <w:b/>
          <w:bCs/>
          <w:color w:val="333333"/>
          <w:sz w:val="23"/>
          <w:szCs w:val="23"/>
          <w:lang w:eastAsia="es-ES"/>
        </w:rPr>
        <w:t>ANEXO Sistema de balizamiento marítimo de la AISM.</w:t>
      </w:r>
    </w:p>
    <w:p w:rsidR="00DD78F2" w:rsidRPr="00DD78F2" w:rsidRDefault="00DD78F2" w:rsidP="00DD78F2">
      <w:pPr>
        <w:spacing w:before="240" w:after="240" w:line="270" w:lineRule="atLeast"/>
        <w:outlineLvl w:val="4"/>
        <w:rPr>
          <w:rFonts w:ascii="Arial" w:eastAsia="Times New Roman" w:hAnsi="Arial" w:cs="Arial"/>
          <w:b/>
          <w:bCs/>
          <w:color w:val="333333"/>
          <w:sz w:val="20"/>
          <w:szCs w:val="20"/>
          <w:lang w:eastAsia="es-ES"/>
        </w:rPr>
      </w:pPr>
      <w:r w:rsidRPr="00DD78F2">
        <w:rPr>
          <w:rFonts w:ascii="Arial" w:eastAsia="Times New Roman" w:hAnsi="Arial" w:cs="Arial"/>
          <w:b/>
          <w:bCs/>
          <w:color w:val="333333"/>
          <w:sz w:val="20"/>
          <w:szCs w:val="20"/>
          <w:lang w:eastAsia="es-ES"/>
        </w:rPr>
        <w:t>REAL DECRETO 1835/1983, DE 25 DE MAYO, POR EL QUE SE ADOPTA PARA EL BALIZAMIENTO DE LAS COSTAS EL SISTEMA DE BALIZAMIENTO MARITIMO DE LA ASOCIACION INTERNACIONAL DE SEÑALIZACION MARITIMA (AISM).</w:t>
      </w:r>
    </w:p>
    <w:p w:rsidR="00DD78F2" w:rsidRPr="00DD78F2" w:rsidRDefault="00DD78F2" w:rsidP="00DD78F2">
      <w:pPr>
        <w:spacing w:after="240" w:line="270" w:lineRule="atLeast"/>
        <w:outlineLvl w:val="3"/>
        <w:rPr>
          <w:rFonts w:ascii="Segoe UI" w:eastAsia="Times New Roman" w:hAnsi="Segoe UI" w:cs="Segoe UI"/>
          <w:b/>
          <w:bCs/>
          <w:caps/>
          <w:color w:val="333333"/>
          <w:sz w:val="18"/>
          <w:szCs w:val="18"/>
          <w:lang w:eastAsia="es-ES"/>
        </w:rPr>
      </w:pPr>
      <w:bookmarkStart w:id="0" w:name="ANEXO_1"/>
      <w:bookmarkEnd w:id="0"/>
      <w:r w:rsidRPr="00DD78F2">
        <w:rPr>
          <w:rFonts w:ascii="Segoe UI" w:eastAsia="Times New Roman" w:hAnsi="Segoe UI" w:cs="Segoe UI"/>
          <w:b/>
          <w:bCs/>
          <w:caps/>
          <w:color w:val="333333"/>
          <w:sz w:val="18"/>
          <w:szCs w:val="18"/>
          <w:lang w:eastAsia="es-ES"/>
        </w:rPr>
        <w:t>1. GENERALIDADES</w:t>
      </w:r>
    </w:p>
    <w:p w:rsidR="00DD78F2" w:rsidRPr="00DD78F2" w:rsidRDefault="00DD78F2" w:rsidP="00DD78F2">
      <w:pPr>
        <w:spacing w:before="240" w:after="240" w:line="270" w:lineRule="atLeast"/>
        <w:outlineLvl w:val="3"/>
        <w:rPr>
          <w:rFonts w:ascii="Segoe UI" w:eastAsia="Times New Roman" w:hAnsi="Segoe UI" w:cs="Segoe UI"/>
          <w:b/>
          <w:bCs/>
          <w:caps/>
          <w:color w:val="333333"/>
          <w:sz w:val="18"/>
          <w:szCs w:val="18"/>
          <w:lang w:eastAsia="es-ES"/>
        </w:rPr>
      </w:pPr>
      <w:bookmarkStart w:id="1" w:name="ANEXO_1_1"/>
      <w:bookmarkEnd w:id="1"/>
      <w:r w:rsidRPr="00DD78F2">
        <w:rPr>
          <w:rFonts w:ascii="Segoe UI" w:eastAsia="Times New Roman" w:hAnsi="Segoe UI" w:cs="Segoe UI"/>
          <w:b/>
          <w:bCs/>
          <w:caps/>
          <w:color w:val="333333"/>
          <w:sz w:val="18"/>
          <w:szCs w:val="18"/>
          <w:lang w:eastAsia="es-ES"/>
        </w:rPr>
        <w:t>1.1 ÁMBITO DE APLICACIÓN.</w:t>
      </w:r>
    </w:p>
    <w:p w:rsidR="00DD78F2" w:rsidRPr="00DD78F2" w:rsidRDefault="00DD78F2" w:rsidP="00DD78F2">
      <w:pPr>
        <w:spacing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Este sistema establece las reglas aplicables a todas las marcas fijas y flotantes (excepto faros, luces de sectores, luces y marcas de enfilación, buques-faros y boyas gigantes de navegación), destinadas a indicar:</w:t>
      </w:r>
    </w:p>
    <w:p w:rsidR="00DD78F2" w:rsidRPr="00DD78F2" w:rsidRDefault="00DD78F2" w:rsidP="00DD78F2">
      <w:pPr>
        <w:spacing w:before="240"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1.1.1 Los límites laterales de los canales navegables.</w:t>
      </w:r>
    </w:p>
    <w:p w:rsidR="00DD78F2" w:rsidRPr="00DD78F2" w:rsidRDefault="00DD78F2" w:rsidP="00DD78F2">
      <w:pPr>
        <w:spacing w:before="240"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1.1.2 Los peligros naturales y otros obstáculos, tales como los naufragios.</w:t>
      </w:r>
    </w:p>
    <w:p w:rsidR="00DD78F2" w:rsidRPr="00DD78F2" w:rsidRDefault="00DD78F2" w:rsidP="00DD78F2">
      <w:pPr>
        <w:spacing w:before="240"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1.1.3 Otras zonas o configuraciones importantes para el navegante.</w:t>
      </w:r>
    </w:p>
    <w:p w:rsidR="00DD78F2" w:rsidRPr="00DD78F2" w:rsidRDefault="00DD78F2" w:rsidP="00DD78F2">
      <w:pPr>
        <w:spacing w:before="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1.1.4 Los peligros nuevos.</w:t>
      </w:r>
    </w:p>
    <w:p w:rsidR="00DD78F2" w:rsidRPr="00DD78F2" w:rsidRDefault="00DD78F2" w:rsidP="00DD78F2">
      <w:pPr>
        <w:spacing w:before="240" w:after="240" w:line="270" w:lineRule="atLeast"/>
        <w:outlineLvl w:val="3"/>
        <w:rPr>
          <w:rFonts w:ascii="Segoe UI" w:eastAsia="Times New Roman" w:hAnsi="Segoe UI" w:cs="Segoe UI"/>
          <w:b/>
          <w:bCs/>
          <w:caps/>
          <w:color w:val="333333"/>
          <w:sz w:val="18"/>
          <w:szCs w:val="18"/>
          <w:lang w:eastAsia="es-ES"/>
        </w:rPr>
      </w:pPr>
      <w:bookmarkStart w:id="2" w:name="ANEXO_1_2"/>
      <w:bookmarkEnd w:id="2"/>
      <w:r w:rsidRPr="00DD78F2">
        <w:rPr>
          <w:rFonts w:ascii="Segoe UI" w:eastAsia="Times New Roman" w:hAnsi="Segoe UI" w:cs="Segoe UI"/>
          <w:b/>
          <w:bCs/>
          <w:caps/>
          <w:color w:val="333333"/>
          <w:sz w:val="18"/>
          <w:szCs w:val="18"/>
          <w:lang w:eastAsia="es-ES"/>
        </w:rPr>
        <w:t>1.2 TIPOS DE MARCAS.</w:t>
      </w:r>
    </w:p>
    <w:p w:rsidR="00DD78F2" w:rsidRPr="00DD78F2" w:rsidRDefault="00DD78F2" w:rsidP="00DD78F2">
      <w:pPr>
        <w:spacing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El sistema de balizamiento comprende cinco tipos de marcas que pueden emplearse combinadas.</w:t>
      </w:r>
    </w:p>
    <w:p w:rsidR="00DD78F2" w:rsidRPr="00DD78F2" w:rsidRDefault="00DD78F2" w:rsidP="00DD78F2">
      <w:pPr>
        <w:spacing w:before="240"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1.2.1 Marcas laterales, utilizadas generalmente para canales bien definidos, asociadas a un sentido convencional del balizamiento Estas marcas indican los lados de babor y estribor de la derrota que debe seguirse. En la bifurcación de un canal puede utilizarse una marca lateral modificada para indicar el canal principal. Las marcas laterales son distintas según se utilicen en una u otra de las regiones de balizamiento A y B, descritas en las</w:t>
      </w:r>
      <w:r w:rsidRPr="00DD78F2">
        <w:rPr>
          <w:rFonts w:ascii="Arial" w:eastAsia="Times New Roman" w:hAnsi="Arial" w:cs="Arial"/>
          <w:color w:val="333333"/>
          <w:sz w:val="18"/>
          <w:lang w:eastAsia="es-ES"/>
        </w:rPr>
        <w:t> </w:t>
      </w:r>
      <w:hyperlink r:id="rId4" w:anchor="ANEXO_2" w:history="1">
        <w:r w:rsidRPr="00DD78F2">
          <w:rPr>
            <w:rFonts w:ascii="Arial" w:eastAsia="Times New Roman" w:hAnsi="Arial" w:cs="Arial"/>
            <w:color w:val="006699"/>
            <w:sz w:val="18"/>
            <w:u w:val="single"/>
            <w:lang w:eastAsia="es-ES"/>
          </w:rPr>
          <w:t>secciones 2</w:t>
        </w:r>
      </w:hyperlink>
      <w:r w:rsidRPr="00DD78F2">
        <w:rPr>
          <w:rFonts w:ascii="Arial" w:eastAsia="Times New Roman" w:hAnsi="Arial" w:cs="Arial"/>
          <w:color w:val="333333"/>
          <w:sz w:val="18"/>
          <w:lang w:eastAsia="es-ES"/>
        </w:rPr>
        <w:t> </w:t>
      </w:r>
      <w:r w:rsidRPr="00DD78F2">
        <w:rPr>
          <w:rFonts w:ascii="Arial" w:eastAsia="Times New Roman" w:hAnsi="Arial" w:cs="Arial"/>
          <w:color w:val="333333"/>
          <w:sz w:val="18"/>
          <w:szCs w:val="18"/>
          <w:lang w:eastAsia="es-ES"/>
        </w:rPr>
        <w:t>y</w:t>
      </w:r>
      <w:r w:rsidRPr="00DD78F2">
        <w:rPr>
          <w:rFonts w:ascii="Arial" w:eastAsia="Times New Roman" w:hAnsi="Arial" w:cs="Arial"/>
          <w:color w:val="333333"/>
          <w:sz w:val="18"/>
          <w:lang w:eastAsia="es-ES"/>
        </w:rPr>
        <w:t> </w:t>
      </w:r>
      <w:hyperlink r:id="rId5" w:anchor="ANEXO_8" w:history="1">
        <w:r w:rsidRPr="00DD78F2">
          <w:rPr>
            <w:rFonts w:ascii="Arial" w:eastAsia="Times New Roman" w:hAnsi="Arial" w:cs="Arial"/>
            <w:color w:val="006699"/>
            <w:sz w:val="18"/>
            <w:u w:val="single"/>
            <w:lang w:eastAsia="es-ES"/>
          </w:rPr>
          <w:t>8</w:t>
        </w:r>
      </w:hyperlink>
      <w:r w:rsidRPr="00DD78F2">
        <w:rPr>
          <w:rFonts w:ascii="Arial" w:eastAsia="Times New Roman" w:hAnsi="Arial" w:cs="Arial"/>
          <w:color w:val="333333"/>
          <w:sz w:val="18"/>
          <w:szCs w:val="18"/>
          <w:lang w:eastAsia="es-ES"/>
        </w:rPr>
        <w:t>.</w:t>
      </w:r>
    </w:p>
    <w:p w:rsidR="00DD78F2" w:rsidRPr="00DD78F2" w:rsidRDefault="00DD78F2" w:rsidP="00DD78F2">
      <w:pPr>
        <w:spacing w:before="240"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1.2.2 Marcas cardinales, que se utilizan asociadas al compás del buque, para indicar al navegante dónde están las aguas navegables.</w:t>
      </w:r>
    </w:p>
    <w:p w:rsidR="00DD78F2" w:rsidRPr="00DD78F2" w:rsidRDefault="00DD78F2" w:rsidP="00DD78F2">
      <w:pPr>
        <w:spacing w:before="240"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1.2.3 Marcas de peligro aislado, para indicar peligros aislados de dimensiones limitadas, enteramente rodeados de aguas navegables.</w:t>
      </w:r>
    </w:p>
    <w:p w:rsidR="00DD78F2" w:rsidRPr="00DD78F2" w:rsidRDefault="00DD78F2" w:rsidP="00DD78F2">
      <w:pPr>
        <w:spacing w:before="240"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 xml:space="preserve">1.2.4 Marcas de aguas navegables, para indicar que las aguas son navegables </w:t>
      </w:r>
      <w:proofErr w:type="gramStart"/>
      <w:r w:rsidRPr="00DD78F2">
        <w:rPr>
          <w:rFonts w:ascii="Arial" w:eastAsia="Times New Roman" w:hAnsi="Arial" w:cs="Arial"/>
          <w:color w:val="333333"/>
          <w:sz w:val="18"/>
          <w:szCs w:val="18"/>
          <w:lang w:eastAsia="es-ES"/>
        </w:rPr>
        <w:t>a</w:t>
      </w:r>
      <w:proofErr w:type="gramEnd"/>
      <w:r w:rsidRPr="00DD78F2">
        <w:rPr>
          <w:rFonts w:ascii="Arial" w:eastAsia="Times New Roman" w:hAnsi="Arial" w:cs="Arial"/>
          <w:color w:val="333333"/>
          <w:sz w:val="18"/>
          <w:szCs w:val="18"/>
          <w:lang w:eastAsia="es-ES"/>
        </w:rPr>
        <w:t xml:space="preserve"> su alrededor, por ejemplo: marca de centro de canal.</w:t>
      </w:r>
    </w:p>
    <w:p w:rsidR="00DD78F2" w:rsidRPr="00DD78F2" w:rsidRDefault="00DD78F2" w:rsidP="00DD78F2">
      <w:pPr>
        <w:spacing w:before="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1.2.5 Marcas especiales, cuyo objetivo principal no es ayudar a la navegación, sino indicar zonas o configuraciones a las que se hace referencia en las publicaciones náuticas.</w:t>
      </w:r>
    </w:p>
    <w:p w:rsidR="00DD78F2" w:rsidRPr="00DD78F2" w:rsidRDefault="00DD78F2" w:rsidP="00DD78F2">
      <w:pPr>
        <w:spacing w:before="240" w:after="240" w:line="270" w:lineRule="atLeast"/>
        <w:outlineLvl w:val="3"/>
        <w:rPr>
          <w:rFonts w:ascii="Segoe UI" w:eastAsia="Times New Roman" w:hAnsi="Segoe UI" w:cs="Segoe UI"/>
          <w:b/>
          <w:bCs/>
          <w:caps/>
          <w:color w:val="333333"/>
          <w:sz w:val="18"/>
          <w:szCs w:val="18"/>
          <w:lang w:eastAsia="es-ES"/>
        </w:rPr>
      </w:pPr>
      <w:bookmarkStart w:id="3" w:name="ANEXO_1_3"/>
      <w:bookmarkEnd w:id="3"/>
      <w:r w:rsidRPr="00DD78F2">
        <w:rPr>
          <w:rFonts w:ascii="Segoe UI" w:eastAsia="Times New Roman" w:hAnsi="Segoe UI" w:cs="Segoe UI"/>
          <w:b/>
          <w:bCs/>
          <w:caps/>
          <w:color w:val="333333"/>
          <w:sz w:val="18"/>
          <w:szCs w:val="18"/>
          <w:lang w:eastAsia="es-ES"/>
        </w:rPr>
        <w:t>1.3 MÉTODO EMPLEADO PARA CARACTERIZAR LAS MARCAS.</w:t>
      </w:r>
    </w:p>
    <w:p w:rsidR="00DD78F2" w:rsidRPr="00DD78F2" w:rsidRDefault="00DD78F2" w:rsidP="00DD78F2">
      <w:pPr>
        <w:spacing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El significado de la marca está determinado por una o más de las siguientes características:</w:t>
      </w:r>
    </w:p>
    <w:p w:rsidR="00DD78F2" w:rsidRPr="00DD78F2" w:rsidRDefault="00DD78F2" w:rsidP="00DD78F2">
      <w:pPr>
        <w:spacing w:before="240"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1.3.1 De noche: Color y ritmo de la luz.</w:t>
      </w:r>
    </w:p>
    <w:p w:rsidR="00DD78F2" w:rsidRPr="00DD78F2" w:rsidRDefault="00DD78F2" w:rsidP="00DD78F2">
      <w:pPr>
        <w:spacing w:before="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1.3.2 De día: Color, forma y marca de tope.</w:t>
      </w:r>
    </w:p>
    <w:p w:rsidR="00DD78F2" w:rsidRPr="00DD78F2" w:rsidRDefault="00DD78F2" w:rsidP="00DD78F2">
      <w:pPr>
        <w:spacing w:before="240" w:after="240" w:line="270" w:lineRule="atLeast"/>
        <w:outlineLvl w:val="3"/>
        <w:rPr>
          <w:rFonts w:ascii="Segoe UI" w:eastAsia="Times New Roman" w:hAnsi="Segoe UI" w:cs="Segoe UI"/>
          <w:b/>
          <w:bCs/>
          <w:caps/>
          <w:color w:val="333333"/>
          <w:sz w:val="18"/>
          <w:szCs w:val="18"/>
          <w:lang w:eastAsia="es-ES"/>
        </w:rPr>
      </w:pPr>
      <w:bookmarkStart w:id="4" w:name="ANEXO_2"/>
      <w:bookmarkEnd w:id="4"/>
      <w:r w:rsidRPr="00DD78F2">
        <w:rPr>
          <w:rFonts w:ascii="Segoe UI" w:eastAsia="Times New Roman" w:hAnsi="Segoe UI" w:cs="Segoe UI"/>
          <w:b/>
          <w:bCs/>
          <w:caps/>
          <w:color w:val="333333"/>
          <w:sz w:val="18"/>
          <w:szCs w:val="18"/>
          <w:lang w:eastAsia="es-ES"/>
        </w:rPr>
        <w:t>2. MARCAS LATERALES</w:t>
      </w:r>
    </w:p>
    <w:p w:rsidR="00DD78F2" w:rsidRPr="00DD78F2" w:rsidRDefault="00DD78F2" w:rsidP="00DD78F2">
      <w:pPr>
        <w:spacing w:before="240" w:after="240" w:line="270" w:lineRule="atLeast"/>
        <w:outlineLvl w:val="3"/>
        <w:rPr>
          <w:rFonts w:ascii="Segoe UI" w:eastAsia="Times New Roman" w:hAnsi="Segoe UI" w:cs="Segoe UI"/>
          <w:b/>
          <w:bCs/>
          <w:caps/>
          <w:color w:val="333333"/>
          <w:sz w:val="18"/>
          <w:szCs w:val="18"/>
          <w:lang w:eastAsia="es-ES"/>
        </w:rPr>
      </w:pPr>
      <w:bookmarkStart w:id="5" w:name="ANEXO_2_1"/>
      <w:bookmarkEnd w:id="5"/>
      <w:r w:rsidRPr="00DD78F2">
        <w:rPr>
          <w:rFonts w:ascii="Segoe UI" w:eastAsia="Times New Roman" w:hAnsi="Segoe UI" w:cs="Segoe UI"/>
          <w:b/>
          <w:bCs/>
          <w:caps/>
          <w:color w:val="333333"/>
          <w:sz w:val="18"/>
          <w:szCs w:val="18"/>
          <w:lang w:eastAsia="es-ES"/>
        </w:rPr>
        <w:lastRenderedPageBreak/>
        <w:t>2.1 DEFINICIÓN DEL SENTIDO CONVENCIONAL DEL BALIZAMIENTO.</w:t>
      </w:r>
    </w:p>
    <w:p w:rsidR="00DD78F2" w:rsidRPr="00DD78F2" w:rsidRDefault="00DD78F2" w:rsidP="00DD78F2">
      <w:pPr>
        <w:spacing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El sentido convencional del balizamiento, que debe indicarse en los documentos náuticos apropiados, puede ser:</w:t>
      </w:r>
    </w:p>
    <w:p w:rsidR="00DD78F2" w:rsidRPr="00DD78F2" w:rsidRDefault="00DD78F2" w:rsidP="00DD78F2">
      <w:pPr>
        <w:spacing w:before="240"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2.1.1 El sentido general que sigue el navegante que procede de alta mar, cuando se aproxima a un puerto, río, estuario o vía navegable, o</w:t>
      </w:r>
    </w:p>
    <w:p w:rsidR="00DD78F2" w:rsidRPr="00DD78F2" w:rsidRDefault="00DD78F2" w:rsidP="00DD78F2">
      <w:pPr>
        <w:spacing w:before="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2.1.2 El sentido determinado por las autoridades competentes, previa consulta, cuando proceda, con los países vecinos. En principio, conviene que siga los contornos de las masas de tierra en el sentido de las agujas del reloj.</w:t>
      </w:r>
    </w:p>
    <w:p w:rsidR="00DD78F2" w:rsidRPr="00DD78F2" w:rsidRDefault="00DD78F2" w:rsidP="00DD78F2">
      <w:pPr>
        <w:spacing w:before="240" w:after="240" w:line="270" w:lineRule="atLeast"/>
        <w:outlineLvl w:val="3"/>
        <w:rPr>
          <w:rFonts w:ascii="Segoe UI" w:eastAsia="Times New Roman" w:hAnsi="Segoe UI" w:cs="Segoe UI"/>
          <w:b/>
          <w:bCs/>
          <w:caps/>
          <w:color w:val="333333"/>
          <w:sz w:val="18"/>
          <w:szCs w:val="18"/>
          <w:lang w:eastAsia="es-ES"/>
        </w:rPr>
      </w:pPr>
      <w:bookmarkStart w:id="6" w:name="ANEXO_2_2"/>
      <w:bookmarkEnd w:id="6"/>
      <w:r w:rsidRPr="00DD78F2">
        <w:rPr>
          <w:rFonts w:ascii="Segoe UI" w:eastAsia="Times New Roman" w:hAnsi="Segoe UI" w:cs="Segoe UI"/>
          <w:b/>
          <w:bCs/>
          <w:caps/>
          <w:color w:val="333333"/>
          <w:sz w:val="18"/>
          <w:szCs w:val="18"/>
          <w:lang w:eastAsia="es-ES"/>
        </w:rPr>
        <w:t>2.2 REGIONES DE BALIZAMIENTO.</w:t>
      </w:r>
    </w:p>
    <w:p w:rsidR="00DD78F2" w:rsidRPr="00DD78F2" w:rsidRDefault="00DD78F2" w:rsidP="00DD78F2">
      <w:pPr>
        <w:spacing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Existen dos regiones internacionales de balizamiento, A y B, en las que las marcas laterales son distintas. Estas regiones de balizamiento se indican en la</w:t>
      </w:r>
      <w:r w:rsidRPr="00DD78F2">
        <w:rPr>
          <w:rFonts w:ascii="Arial" w:eastAsia="Times New Roman" w:hAnsi="Arial" w:cs="Arial"/>
          <w:color w:val="333333"/>
          <w:sz w:val="18"/>
          <w:lang w:eastAsia="es-ES"/>
        </w:rPr>
        <w:t> </w:t>
      </w:r>
      <w:hyperlink r:id="rId6" w:anchor="ANEXO_8" w:history="1">
        <w:r w:rsidRPr="00DD78F2">
          <w:rPr>
            <w:rFonts w:ascii="Arial" w:eastAsia="Times New Roman" w:hAnsi="Arial" w:cs="Arial"/>
            <w:color w:val="006699"/>
            <w:sz w:val="18"/>
            <w:u w:val="single"/>
            <w:lang w:eastAsia="es-ES"/>
          </w:rPr>
          <w:t>sección 8</w:t>
        </w:r>
      </w:hyperlink>
      <w:r w:rsidRPr="00DD78F2">
        <w:rPr>
          <w:rFonts w:ascii="Arial" w:eastAsia="Times New Roman" w:hAnsi="Arial" w:cs="Arial"/>
          <w:color w:val="333333"/>
          <w:sz w:val="18"/>
          <w:szCs w:val="18"/>
          <w:lang w:eastAsia="es-ES"/>
        </w:rPr>
        <w:t>.</w:t>
      </w:r>
    </w:p>
    <w:p w:rsidR="00DD78F2" w:rsidRPr="00DD78F2" w:rsidRDefault="00DD78F2" w:rsidP="00DD78F2">
      <w:pPr>
        <w:spacing w:before="240" w:after="240" w:line="270" w:lineRule="atLeast"/>
        <w:outlineLvl w:val="3"/>
        <w:rPr>
          <w:rFonts w:ascii="Segoe UI" w:eastAsia="Times New Roman" w:hAnsi="Segoe UI" w:cs="Segoe UI"/>
          <w:b/>
          <w:bCs/>
          <w:caps/>
          <w:color w:val="333333"/>
          <w:sz w:val="18"/>
          <w:szCs w:val="18"/>
          <w:lang w:eastAsia="es-ES"/>
        </w:rPr>
      </w:pPr>
      <w:bookmarkStart w:id="7" w:name="ANEXO_2_3"/>
      <w:bookmarkEnd w:id="7"/>
      <w:r w:rsidRPr="00DD78F2">
        <w:rPr>
          <w:rFonts w:ascii="Segoe UI" w:eastAsia="Times New Roman" w:hAnsi="Segoe UI" w:cs="Segoe UI"/>
          <w:b/>
          <w:bCs/>
          <w:caps/>
          <w:color w:val="333333"/>
          <w:sz w:val="18"/>
          <w:szCs w:val="18"/>
          <w:lang w:eastAsia="es-ES"/>
        </w:rPr>
        <w:t>2.3 DESCRIPCIÓN DE LAS MARCAS LATERALES DE LA REGIÓN A.</w:t>
      </w:r>
    </w:p>
    <w:p w:rsidR="00DD78F2" w:rsidRPr="00DD78F2" w:rsidRDefault="00DD78F2" w:rsidP="00DD78F2">
      <w:pPr>
        <w:spacing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2.3.1 Marcas de babor.</w:t>
      </w:r>
    </w:p>
    <w:p w:rsidR="00DD78F2" w:rsidRPr="00DD78F2" w:rsidRDefault="00DD78F2" w:rsidP="00DD78F2">
      <w:pPr>
        <w:spacing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Color: Rojo.</w:t>
      </w:r>
      <w:r w:rsidRPr="00DD78F2">
        <w:rPr>
          <w:rFonts w:ascii="Arial" w:eastAsia="Times New Roman" w:hAnsi="Arial" w:cs="Arial"/>
          <w:color w:val="333333"/>
          <w:sz w:val="18"/>
          <w:szCs w:val="18"/>
          <w:lang w:eastAsia="es-ES"/>
        </w:rPr>
        <w:br/>
        <w:t>Forma (boyas): Cilíndrica, de castillete o de espeque.</w:t>
      </w:r>
      <w:r w:rsidRPr="00DD78F2">
        <w:rPr>
          <w:rFonts w:ascii="Arial" w:eastAsia="Times New Roman" w:hAnsi="Arial" w:cs="Arial"/>
          <w:color w:val="333333"/>
          <w:sz w:val="18"/>
          <w:szCs w:val="18"/>
          <w:lang w:eastAsia="es-ES"/>
        </w:rPr>
        <w:br/>
        <w:t>Marca de tope (si tiene): Un cilindro rojo.</w:t>
      </w:r>
      <w:r w:rsidRPr="00DD78F2">
        <w:rPr>
          <w:rFonts w:ascii="Arial" w:eastAsia="Times New Roman" w:hAnsi="Arial" w:cs="Arial"/>
          <w:color w:val="333333"/>
          <w:sz w:val="18"/>
          <w:szCs w:val="18"/>
          <w:lang w:eastAsia="es-ES"/>
        </w:rPr>
        <w:br/>
        <w:t>Luz (si tiene):</w:t>
      </w:r>
      <w:r w:rsidRPr="00DD78F2">
        <w:rPr>
          <w:rFonts w:ascii="Arial" w:eastAsia="Times New Roman" w:hAnsi="Arial" w:cs="Arial"/>
          <w:color w:val="333333"/>
          <w:sz w:val="18"/>
          <w:szCs w:val="18"/>
          <w:lang w:eastAsia="es-ES"/>
        </w:rPr>
        <w:br/>
        <w:t>Color: Rojo.</w:t>
      </w:r>
      <w:r w:rsidRPr="00DD78F2">
        <w:rPr>
          <w:rFonts w:ascii="Arial" w:eastAsia="Times New Roman" w:hAnsi="Arial" w:cs="Arial"/>
          <w:color w:val="333333"/>
          <w:sz w:val="18"/>
          <w:szCs w:val="18"/>
          <w:lang w:eastAsia="es-ES"/>
        </w:rPr>
        <w:br/>
        <w:t>Ritmo: Cualquiera, excepto el descrito en la</w:t>
      </w:r>
      <w:r w:rsidRPr="00DD78F2">
        <w:rPr>
          <w:rFonts w:ascii="Arial" w:eastAsia="Times New Roman" w:hAnsi="Arial" w:cs="Arial"/>
          <w:color w:val="333333"/>
          <w:sz w:val="18"/>
          <w:lang w:eastAsia="es-ES"/>
        </w:rPr>
        <w:t> </w:t>
      </w:r>
      <w:hyperlink r:id="rId7" w:anchor="ANEXO_2_3_3" w:history="1">
        <w:r w:rsidRPr="00DD78F2">
          <w:rPr>
            <w:rFonts w:ascii="Arial" w:eastAsia="Times New Roman" w:hAnsi="Arial" w:cs="Arial"/>
            <w:color w:val="006699"/>
            <w:sz w:val="18"/>
            <w:u w:val="single"/>
            <w:lang w:eastAsia="es-ES"/>
          </w:rPr>
          <w:t>sección 2.3.3</w:t>
        </w:r>
      </w:hyperlink>
      <w:r w:rsidRPr="00DD78F2">
        <w:rPr>
          <w:rFonts w:ascii="Arial" w:eastAsia="Times New Roman" w:hAnsi="Arial" w:cs="Arial"/>
          <w:color w:val="333333"/>
          <w:sz w:val="18"/>
          <w:szCs w:val="18"/>
          <w:lang w:eastAsia="es-ES"/>
        </w:rPr>
        <w:t>.</w:t>
      </w:r>
    </w:p>
    <w:p w:rsidR="00DD78F2" w:rsidRPr="00DD78F2" w:rsidRDefault="00DD78F2" w:rsidP="00DD78F2">
      <w:pPr>
        <w:spacing w:before="240"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2.3.2 Marcas de estribor.</w:t>
      </w:r>
    </w:p>
    <w:p w:rsidR="00DD78F2" w:rsidRPr="00DD78F2" w:rsidRDefault="00DD78F2" w:rsidP="00DD78F2">
      <w:pPr>
        <w:spacing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Color: Verde.</w:t>
      </w:r>
      <w:r w:rsidRPr="00DD78F2">
        <w:rPr>
          <w:rFonts w:ascii="Arial" w:eastAsia="Times New Roman" w:hAnsi="Arial" w:cs="Arial"/>
          <w:color w:val="333333"/>
          <w:sz w:val="18"/>
          <w:szCs w:val="18"/>
          <w:lang w:eastAsia="es-ES"/>
        </w:rPr>
        <w:br/>
        <w:t>Forma (boyas): Cónica, de castillete o de espeque.</w:t>
      </w:r>
      <w:r w:rsidRPr="00DD78F2">
        <w:rPr>
          <w:rFonts w:ascii="Arial" w:eastAsia="Times New Roman" w:hAnsi="Arial" w:cs="Arial"/>
          <w:color w:val="333333"/>
          <w:sz w:val="18"/>
          <w:szCs w:val="18"/>
          <w:lang w:eastAsia="es-ES"/>
        </w:rPr>
        <w:br/>
        <w:t>Marca de tope (si tiene): Un cono verde con el vértice hacia arriba</w:t>
      </w:r>
      <w:r w:rsidRPr="00DD78F2">
        <w:rPr>
          <w:rFonts w:ascii="Arial" w:eastAsia="Times New Roman" w:hAnsi="Arial" w:cs="Arial"/>
          <w:color w:val="333333"/>
          <w:sz w:val="18"/>
          <w:szCs w:val="18"/>
          <w:lang w:eastAsia="es-ES"/>
        </w:rPr>
        <w:br/>
        <w:t>Luz (si tiene):</w:t>
      </w:r>
      <w:r w:rsidRPr="00DD78F2">
        <w:rPr>
          <w:rFonts w:ascii="Arial" w:eastAsia="Times New Roman" w:hAnsi="Arial" w:cs="Arial"/>
          <w:color w:val="333333"/>
          <w:sz w:val="18"/>
          <w:szCs w:val="18"/>
          <w:lang w:eastAsia="es-ES"/>
        </w:rPr>
        <w:br/>
        <w:t>Color: Verde.</w:t>
      </w:r>
      <w:r w:rsidRPr="00DD78F2">
        <w:rPr>
          <w:rFonts w:ascii="Arial" w:eastAsia="Times New Roman" w:hAnsi="Arial" w:cs="Arial"/>
          <w:color w:val="333333"/>
          <w:sz w:val="18"/>
          <w:szCs w:val="18"/>
          <w:lang w:eastAsia="es-ES"/>
        </w:rPr>
        <w:br/>
        <w:t>Ritmo: Cualquiera, excepto el descrito en la</w:t>
      </w:r>
      <w:r w:rsidRPr="00DD78F2">
        <w:rPr>
          <w:rFonts w:ascii="Arial" w:eastAsia="Times New Roman" w:hAnsi="Arial" w:cs="Arial"/>
          <w:color w:val="333333"/>
          <w:sz w:val="18"/>
          <w:lang w:eastAsia="es-ES"/>
        </w:rPr>
        <w:t> </w:t>
      </w:r>
      <w:hyperlink r:id="rId8" w:anchor="ANEXO_2_3_3" w:history="1">
        <w:r w:rsidRPr="00DD78F2">
          <w:rPr>
            <w:rFonts w:ascii="Arial" w:eastAsia="Times New Roman" w:hAnsi="Arial" w:cs="Arial"/>
            <w:color w:val="006699"/>
            <w:sz w:val="18"/>
            <w:u w:val="single"/>
            <w:lang w:eastAsia="es-ES"/>
          </w:rPr>
          <w:t>sección 2.3.3</w:t>
        </w:r>
      </w:hyperlink>
      <w:r w:rsidRPr="00DD78F2">
        <w:rPr>
          <w:rFonts w:ascii="Arial" w:eastAsia="Times New Roman" w:hAnsi="Arial" w:cs="Arial"/>
          <w:color w:val="333333"/>
          <w:sz w:val="18"/>
          <w:szCs w:val="18"/>
          <w:lang w:eastAsia="es-ES"/>
        </w:rPr>
        <w:t>.</w:t>
      </w:r>
    </w:p>
    <w:p w:rsidR="00DD78F2" w:rsidRPr="00DD78F2" w:rsidRDefault="00DD78F2" w:rsidP="00DD78F2">
      <w:pPr>
        <w:spacing w:before="240" w:after="240" w:line="270" w:lineRule="atLeast"/>
        <w:jc w:val="center"/>
        <w:rPr>
          <w:rFonts w:ascii="Arial" w:eastAsia="Times New Roman" w:hAnsi="Arial" w:cs="Arial"/>
          <w:color w:val="333333"/>
          <w:sz w:val="18"/>
          <w:szCs w:val="18"/>
          <w:lang w:eastAsia="es-ES"/>
        </w:rPr>
      </w:pPr>
      <w:r>
        <w:rPr>
          <w:rFonts w:ascii="Arial" w:eastAsia="Times New Roman" w:hAnsi="Arial" w:cs="Arial"/>
          <w:noProof/>
          <w:color w:val="333333"/>
          <w:sz w:val="18"/>
          <w:szCs w:val="18"/>
          <w:lang w:eastAsia="es-ES"/>
        </w:rPr>
        <w:drawing>
          <wp:inline distT="0" distB="0" distL="0" distR="0">
            <wp:extent cx="5343525" cy="1390650"/>
            <wp:effectExtent l="19050" t="0" r="9525" b="0"/>
            <wp:docPr id="1" name="Imagen 1" descr="Figur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a 1"/>
                    <pic:cNvPicPr>
                      <a:picLocks noChangeAspect="1" noChangeArrowheads="1"/>
                    </pic:cNvPicPr>
                  </pic:nvPicPr>
                  <pic:blipFill>
                    <a:blip r:embed="rId9"/>
                    <a:srcRect/>
                    <a:stretch>
                      <a:fillRect/>
                    </a:stretch>
                  </pic:blipFill>
                  <pic:spPr bwMode="auto">
                    <a:xfrm>
                      <a:off x="0" y="0"/>
                      <a:ext cx="5343525" cy="1390650"/>
                    </a:xfrm>
                    <a:prstGeom prst="rect">
                      <a:avLst/>
                    </a:prstGeom>
                    <a:noFill/>
                    <a:ln w="9525">
                      <a:noFill/>
                      <a:miter lim="800000"/>
                      <a:headEnd/>
                      <a:tailEnd/>
                    </a:ln>
                  </pic:spPr>
                </pic:pic>
              </a:graphicData>
            </a:graphic>
          </wp:inline>
        </w:drawing>
      </w:r>
    </w:p>
    <w:p w:rsidR="00DD78F2" w:rsidRPr="00DD78F2" w:rsidRDefault="00DD78F2" w:rsidP="00DD78F2">
      <w:pPr>
        <w:spacing w:before="240" w:after="240" w:line="270" w:lineRule="atLeast"/>
        <w:rPr>
          <w:rFonts w:ascii="Arial" w:eastAsia="Times New Roman" w:hAnsi="Arial" w:cs="Arial"/>
          <w:color w:val="333333"/>
          <w:sz w:val="18"/>
          <w:szCs w:val="18"/>
          <w:lang w:eastAsia="es-ES"/>
        </w:rPr>
      </w:pPr>
      <w:bookmarkStart w:id="8" w:name="ANEXO_2_3_3"/>
      <w:bookmarkEnd w:id="8"/>
      <w:r w:rsidRPr="00DD78F2">
        <w:rPr>
          <w:rFonts w:ascii="Arial" w:eastAsia="Times New Roman" w:hAnsi="Arial" w:cs="Arial"/>
          <w:color w:val="333333"/>
          <w:sz w:val="18"/>
          <w:szCs w:val="18"/>
          <w:lang w:eastAsia="es-ES"/>
        </w:rPr>
        <w:t>2.3.3 En el punto de bifurcación de un canal, siguiendo el sentido convencional de balizamiento, se puede indicar el canal principal mediante una marca lateral de babor o estribor modificada de la manera siguiente:</w:t>
      </w:r>
    </w:p>
    <w:p w:rsidR="00DD78F2" w:rsidRPr="00DD78F2" w:rsidRDefault="00DD78F2" w:rsidP="00DD78F2">
      <w:pPr>
        <w:spacing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2.3.3.1 Canal principal a estribor.</w:t>
      </w:r>
    </w:p>
    <w:p w:rsidR="00DD78F2" w:rsidRPr="00DD78F2" w:rsidRDefault="00DD78F2" w:rsidP="00DD78F2">
      <w:pPr>
        <w:spacing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lastRenderedPageBreak/>
        <w:t>Color: Rojo con una banda ancha horizontal verde.</w:t>
      </w:r>
      <w:r w:rsidRPr="00DD78F2">
        <w:rPr>
          <w:rFonts w:ascii="Arial" w:eastAsia="Times New Roman" w:hAnsi="Arial" w:cs="Arial"/>
          <w:color w:val="333333"/>
          <w:sz w:val="18"/>
          <w:szCs w:val="18"/>
          <w:lang w:eastAsia="es-ES"/>
        </w:rPr>
        <w:br/>
        <w:t>Forma (boyas): Cilíndrica, de castillete o de espeque.</w:t>
      </w:r>
      <w:r w:rsidRPr="00DD78F2">
        <w:rPr>
          <w:rFonts w:ascii="Arial" w:eastAsia="Times New Roman" w:hAnsi="Arial" w:cs="Arial"/>
          <w:color w:val="333333"/>
          <w:sz w:val="18"/>
          <w:szCs w:val="18"/>
          <w:lang w:eastAsia="es-ES"/>
        </w:rPr>
        <w:br/>
        <w:t>Marca de tope (si tiene): Un cilindro rojo.</w:t>
      </w:r>
      <w:r w:rsidRPr="00DD78F2">
        <w:rPr>
          <w:rFonts w:ascii="Arial" w:eastAsia="Times New Roman" w:hAnsi="Arial" w:cs="Arial"/>
          <w:color w:val="333333"/>
          <w:sz w:val="18"/>
          <w:szCs w:val="18"/>
          <w:lang w:eastAsia="es-ES"/>
        </w:rPr>
        <w:br/>
        <w:t>Luz (si tiene):</w:t>
      </w:r>
      <w:r w:rsidRPr="00DD78F2">
        <w:rPr>
          <w:rFonts w:ascii="Arial" w:eastAsia="Times New Roman" w:hAnsi="Arial" w:cs="Arial"/>
          <w:color w:val="333333"/>
          <w:sz w:val="18"/>
          <w:szCs w:val="18"/>
          <w:lang w:eastAsia="es-ES"/>
        </w:rPr>
        <w:br/>
        <w:t>Color: Rojo.</w:t>
      </w:r>
      <w:r w:rsidRPr="00DD78F2">
        <w:rPr>
          <w:rFonts w:ascii="Arial" w:eastAsia="Times New Roman" w:hAnsi="Arial" w:cs="Arial"/>
          <w:color w:val="333333"/>
          <w:sz w:val="18"/>
          <w:szCs w:val="18"/>
          <w:lang w:eastAsia="es-ES"/>
        </w:rPr>
        <w:br/>
        <w:t xml:space="preserve">Ritmo: Grupos de dos más un destellos. </w:t>
      </w:r>
      <w:proofErr w:type="spellStart"/>
      <w:r w:rsidRPr="00DD78F2">
        <w:rPr>
          <w:rFonts w:ascii="Arial" w:eastAsia="Times New Roman" w:hAnsi="Arial" w:cs="Arial"/>
          <w:color w:val="333333"/>
          <w:sz w:val="18"/>
          <w:szCs w:val="18"/>
          <w:lang w:eastAsia="es-ES"/>
        </w:rPr>
        <w:t>GpD</w:t>
      </w:r>
      <w:proofErr w:type="spellEnd"/>
      <w:r w:rsidRPr="00DD78F2">
        <w:rPr>
          <w:rFonts w:ascii="Arial" w:eastAsia="Times New Roman" w:hAnsi="Arial" w:cs="Arial"/>
          <w:color w:val="333333"/>
          <w:sz w:val="18"/>
          <w:szCs w:val="18"/>
          <w:lang w:eastAsia="es-ES"/>
        </w:rPr>
        <w:t xml:space="preserve"> (2 + 1).</w:t>
      </w:r>
    </w:p>
    <w:p w:rsidR="00DD78F2" w:rsidRPr="00DD78F2" w:rsidRDefault="00DD78F2" w:rsidP="00DD78F2">
      <w:pPr>
        <w:spacing w:before="240"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2.3.3.2 Canal principal a babor.</w:t>
      </w:r>
    </w:p>
    <w:p w:rsidR="00DD78F2" w:rsidRPr="00DD78F2" w:rsidRDefault="00DD78F2" w:rsidP="00DD78F2">
      <w:pPr>
        <w:spacing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Color: Verde con una banda ancha horizontal roja.</w:t>
      </w:r>
      <w:r w:rsidRPr="00DD78F2">
        <w:rPr>
          <w:rFonts w:ascii="Arial" w:eastAsia="Times New Roman" w:hAnsi="Arial" w:cs="Arial"/>
          <w:color w:val="333333"/>
          <w:sz w:val="18"/>
          <w:szCs w:val="18"/>
          <w:lang w:eastAsia="es-ES"/>
        </w:rPr>
        <w:br/>
        <w:t>Forma (boyas): Cónica, de castillete o de espeque.</w:t>
      </w:r>
      <w:r w:rsidRPr="00DD78F2">
        <w:rPr>
          <w:rFonts w:ascii="Arial" w:eastAsia="Times New Roman" w:hAnsi="Arial" w:cs="Arial"/>
          <w:color w:val="333333"/>
          <w:sz w:val="18"/>
          <w:szCs w:val="18"/>
          <w:lang w:eastAsia="es-ES"/>
        </w:rPr>
        <w:br/>
        <w:t>Marca de tope (si tiene): Un cono verde con el vértice hacia arriba.</w:t>
      </w:r>
      <w:r w:rsidRPr="00DD78F2">
        <w:rPr>
          <w:rFonts w:ascii="Arial" w:eastAsia="Times New Roman" w:hAnsi="Arial" w:cs="Arial"/>
          <w:color w:val="333333"/>
          <w:sz w:val="18"/>
          <w:szCs w:val="18"/>
          <w:lang w:eastAsia="es-ES"/>
        </w:rPr>
        <w:br/>
        <w:t>Luz (si tiene):</w:t>
      </w:r>
      <w:r w:rsidRPr="00DD78F2">
        <w:rPr>
          <w:rFonts w:ascii="Arial" w:eastAsia="Times New Roman" w:hAnsi="Arial" w:cs="Arial"/>
          <w:color w:val="333333"/>
          <w:sz w:val="18"/>
          <w:szCs w:val="18"/>
          <w:lang w:eastAsia="es-ES"/>
        </w:rPr>
        <w:br/>
        <w:t>Color: Verde.</w:t>
      </w:r>
      <w:r w:rsidRPr="00DD78F2">
        <w:rPr>
          <w:rFonts w:ascii="Arial" w:eastAsia="Times New Roman" w:hAnsi="Arial" w:cs="Arial"/>
          <w:color w:val="333333"/>
          <w:sz w:val="18"/>
          <w:szCs w:val="18"/>
          <w:lang w:eastAsia="es-ES"/>
        </w:rPr>
        <w:br/>
        <w:t xml:space="preserve">Ritmo: Grupos de dos más un destellos. </w:t>
      </w:r>
      <w:proofErr w:type="spellStart"/>
      <w:r w:rsidRPr="00DD78F2">
        <w:rPr>
          <w:rFonts w:ascii="Arial" w:eastAsia="Times New Roman" w:hAnsi="Arial" w:cs="Arial"/>
          <w:color w:val="333333"/>
          <w:sz w:val="18"/>
          <w:szCs w:val="18"/>
          <w:lang w:eastAsia="es-ES"/>
        </w:rPr>
        <w:t>GpD</w:t>
      </w:r>
      <w:proofErr w:type="spellEnd"/>
      <w:r w:rsidRPr="00DD78F2">
        <w:rPr>
          <w:rFonts w:ascii="Arial" w:eastAsia="Times New Roman" w:hAnsi="Arial" w:cs="Arial"/>
          <w:color w:val="333333"/>
          <w:sz w:val="18"/>
          <w:szCs w:val="18"/>
          <w:lang w:eastAsia="es-ES"/>
        </w:rPr>
        <w:t xml:space="preserve"> (2 + 1).</w:t>
      </w:r>
    </w:p>
    <w:p w:rsidR="00DD78F2" w:rsidRPr="00DD78F2" w:rsidRDefault="00DD78F2" w:rsidP="00DD78F2">
      <w:pPr>
        <w:spacing w:before="240" w:line="270" w:lineRule="atLeast"/>
        <w:jc w:val="center"/>
        <w:rPr>
          <w:rFonts w:ascii="Arial" w:eastAsia="Times New Roman" w:hAnsi="Arial" w:cs="Arial"/>
          <w:color w:val="333333"/>
          <w:sz w:val="18"/>
          <w:szCs w:val="18"/>
          <w:lang w:eastAsia="es-ES"/>
        </w:rPr>
      </w:pPr>
      <w:r>
        <w:rPr>
          <w:rFonts w:ascii="Arial" w:eastAsia="Times New Roman" w:hAnsi="Arial" w:cs="Arial"/>
          <w:noProof/>
          <w:color w:val="333333"/>
          <w:sz w:val="18"/>
          <w:szCs w:val="18"/>
          <w:lang w:eastAsia="es-ES"/>
        </w:rPr>
        <w:drawing>
          <wp:inline distT="0" distB="0" distL="0" distR="0">
            <wp:extent cx="5353050" cy="1390650"/>
            <wp:effectExtent l="19050" t="0" r="0" b="0"/>
            <wp:docPr id="2" name="Imagen 2" descr="Figur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a 2"/>
                    <pic:cNvPicPr>
                      <a:picLocks noChangeAspect="1" noChangeArrowheads="1"/>
                    </pic:cNvPicPr>
                  </pic:nvPicPr>
                  <pic:blipFill>
                    <a:blip r:embed="rId10"/>
                    <a:srcRect/>
                    <a:stretch>
                      <a:fillRect/>
                    </a:stretch>
                  </pic:blipFill>
                  <pic:spPr bwMode="auto">
                    <a:xfrm>
                      <a:off x="0" y="0"/>
                      <a:ext cx="5353050" cy="1390650"/>
                    </a:xfrm>
                    <a:prstGeom prst="rect">
                      <a:avLst/>
                    </a:prstGeom>
                    <a:noFill/>
                    <a:ln w="9525">
                      <a:noFill/>
                      <a:miter lim="800000"/>
                      <a:headEnd/>
                      <a:tailEnd/>
                    </a:ln>
                  </pic:spPr>
                </pic:pic>
              </a:graphicData>
            </a:graphic>
          </wp:inline>
        </w:drawing>
      </w:r>
    </w:p>
    <w:p w:rsidR="00DD78F2" w:rsidRPr="00DD78F2" w:rsidRDefault="00DD78F2" w:rsidP="00DD78F2">
      <w:pPr>
        <w:spacing w:before="240" w:after="240" w:line="270" w:lineRule="atLeast"/>
        <w:outlineLvl w:val="4"/>
        <w:rPr>
          <w:rFonts w:ascii="Arial" w:eastAsia="Times New Roman" w:hAnsi="Arial" w:cs="Arial"/>
          <w:b/>
          <w:bCs/>
          <w:color w:val="333333"/>
          <w:sz w:val="20"/>
          <w:szCs w:val="20"/>
          <w:lang w:eastAsia="es-ES"/>
        </w:rPr>
      </w:pPr>
      <w:bookmarkStart w:id="9" w:name="ANEXO_2_4"/>
      <w:bookmarkEnd w:id="9"/>
      <w:r w:rsidRPr="00DD78F2">
        <w:rPr>
          <w:rFonts w:ascii="Arial" w:eastAsia="Times New Roman" w:hAnsi="Arial" w:cs="Arial"/>
          <w:b/>
          <w:bCs/>
          <w:color w:val="333333"/>
          <w:sz w:val="20"/>
          <w:szCs w:val="20"/>
          <w:lang w:eastAsia="es-ES"/>
        </w:rPr>
        <w:t>2.4 Descripción de las marcas laterales de la Región B.</w:t>
      </w:r>
    </w:p>
    <w:p w:rsidR="00DD78F2" w:rsidRPr="00DD78F2" w:rsidRDefault="00DD78F2" w:rsidP="00DD78F2">
      <w:pPr>
        <w:spacing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2.4.1 Marcas de babor.</w:t>
      </w:r>
    </w:p>
    <w:p w:rsidR="00DD78F2" w:rsidRPr="00DD78F2" w:rsidRDefault="00DD78F2" w:rsidP="00DD78F2">
      <w:pPr>
        <w:spacing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Color: Verde.</w:t>
      </w:r>
      <w:r w:rsidRPr="00DD78F2">
        <w:rPr>
          <w:rFonts w:ascii="Arial" w:eastAsia="Times New Roman" w:hAnsi="Arial" w:cs="Arial"/>
          <w:color w:val="333333"/>
          <w:sz w:val="18"/>
          <w:szCs w:val="18"/>
          <w:lang w:eastAsia="es-ES"/>
        </w:rPr>
        <w:br/>
        <w:t>Forma (boyas): Cilíndrica, de castillete o de espeque.</w:t>
      </w:r>
      <w:r w:rsidRPr="00DD78F2">
        <w:rPr>
          <w:rFonts w:ascii="Arial" w:eastAsia="Times New Roman" w:hAnsi="Arial" w:cs="Arial"/>
          <w:color w:val="333333"/>
          <w:sz w:val="18"/>
          <w:szCs w:val="18"/>
          <w:lang w:eastAsia="es-ES"/>
        </w:rPr>
        <w:br/>
        <w:t>Marca de tope (si tiene): Un cilindro verde.</w:t>
      </w:r>
      <w:r w:rsidRPr="00DD78F2">
        <w:rPr>
          <w:rFonts w:ascii="Arial" w:eastAsia="Times New Roman" w:hAnsi="Arial" w:cs="Arial"/>
          <w:color w:val="333333"/>
          <w:sz w:val="18"/>
          <w:szCs w:val="18"/>
          <w:lang w:eastAsia="es-ES"/>
        </w:rPr>
        <w:br/>
        <w:t>Luz (si tiene):</w:t>
      </w:r>
      <w:r w:rsidRPr="00DD78F2">
        <w:rPr>
          <w:rFonts w:ascii="Arial" w:eastAsia="Times New Roman" w:hAnsi="Arial" w:cs="Arial"/>
          <w:color w:val="333333"/>
          <w:sz w:val="18"/>
          <w:szCs w:val="18"/>
          <w:lang w:eastAsia="es-ES"/>
        </w:rPr>
        <w:br/>
        <w:t>Color: Verde.</w:t>
      </w:r>
      <w:r w:rsidRPr="00DD78F2">
        <w:rPr>
          <w:rFonts w:ascii="Arial" w:eastAsia="Times New Roman" w:hAnsi="Arial" w:cs="Arial"/>
          <w:color w:val="333333"/>
          <w:sz w:val="18"/>
          <w:szCs w:val="18"/>
          <w:lang w:eastAsia="es-ES"/>
        </w:rPr>
        <w:br/>
        <w:t>Ritmo: Cualquiera, excepto el descrito en la</w:t>
      </w:r>
      <w:r w:rsidRPr="00DD78F2">
        <w:rPr>
          <w:rFonts w:ascii="Arial" w:eastAsia="Times New Roman" w:hAnsi="Arial" w:cs="Arial"/>
          <w:color w:val="333333"/>
          <w:sz w:val="18"/>
          <w:lang w:eastAsia="es-ES"/>
        </w:rPr>
        <w:t> </w:t>
      </w:r>
      <w:hyperlink r:id="rId11" w:anchor="ANEXO_2_4_3" w:history="1">
        <w:r w:rsidRPr="00DD78F2">
          <w:rPr>
            <w:rFonts w:ascii="Arial" w:eastAsia="Times New Roman" w:hAnsi="Arial" w:cs="Arial"/>
            <w:color w:val="006699"/>
            <w:sz w:val="18"/>
            <w:u w:val="single"/>
            <w:lang w:eastAsia="es-ES"/>
          </w:rPr>
          <w:t>sección 2.4.3</w:t>
        </w:r>
      </w:hyperlink>
      <w:r w:rsidRPr="00DD78F2">
        <w:rPr>
          <w:rFonts w:ascii="Arial" w:eastAsia="Times New Roman" w:hAnsi="Arial" w:cs="Arial"/>
          <w:color w:val="333333"/>
          <w:sz w:val="18"/>
          <w:szCs w:val="18"/>
          <w:lang w:eastAsia="es-ES"/>
        </w:rPr>
        <w:t>.</w:t>
      </w:r>
    </w:p>
    <w:p w:rsidR="00DD78F2" w:rsidRPr="00DD78F2" w:rsidRDefault="00DD78F2" w:rsidP="00DD78F2">
      <w:pPr>
        <w:spacing w:before="240"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2.4.2 Marcas de estribor.</w:t>
      </w:r>
    </w:p>
    <w:p w:rsidR="00DD78F2" w:rsidRPr="00DD78F2" w:rsidRDefault="00DD78F2" w:rsidP="00DD78F2">
      <w:pPr>
        <w:spacing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Color: Rojo.</w:t>
      </w:r>
      <w:r w:rsidRPr="00DD78F2">
        <w:rPr>
          <w:rFonts w:ascii="Arial" w:eastAsia="Times New Roman" w:hAnsi="Arial" w:cs="Arial"/>
          <w:color w:val="333333"/>
          <w:sz w:val="18"/>
          <w:szCs w:val="18"/>
          <w:lang w:eastAsia="es-ES"/>
        </w:rPr>
        <w:br/>
        <w:t>Forma (boyas): Cónica, de castillete o de espeque.</w:t>
      </w:r>
      <w:r w:rsidRPr="00DD78F2">
        <w:rPr>
          <w:rFonts w:ascii="Arial" w:eastAsia="Times New Roman" w:hAnsi="Arial" w:cs="Arial"/>
          <w:color w:val="333333"/>
          <w:sz w:val="18"/>
          <w:szCs w:val="18"/>
          <w:lang w:eastAsia="es-ES"/>
        </w:rPr>
        <w:br/>
        <w:t>Marca de tope (si tiene): Un cono rojo con el vértice hacia arriba.</w:t>
      </w:r>
      <w:r w:rsidRPr="00DD78F2">
        <w:rPr>
          <w:rFonts w:ascii="Arial" w:eastAsia="Times New Roman" w:hAnsi="Arial" w:cs="Arial"/>
          <w:color w:val="333333"/>
          <w:sz w:val="18"/>
          <w:szCs w:val="18"/>
          <w:lang w:eastAsia="es-ES"/>
        </w:rPr>
        <w:br/>
        <w:t>Luz (si tiene):</w:t>
      </w:r>
      <w:r w:rsidRPr="00DD78F2">
        <w:rPr>
          <w:rFonts w:ascii="Arial" w:eastAsia="Times New Roman" w:hAnsi="Arial" w:cs="Arial"/>
          <w:color w:val="333333"/>
          <w:sz w:val="18"/>
          <w:szCs w:val="18"/>
          <w:lang w:eastAsia="es-ES"/>
        </w:rPr>
        <w:br/>
        <w:t>Color: Rojo.</w:t>
      </w:r>
      <w:r w:rsidRPr="00DD78F2">
        <w:rPr>
          <w:rFonts w:ascii="Arial" w:eastAsia="Times New Roman" w:hAnsi="Arial" w:cs="Arial"/>
          <w:color w:val="333333"/>
          <w:sz w:val="18"/>
          <w:szCs w:val="18"/>
          <w:lang w:eastAsia="es-ES"/>
        </w:rPr>
        <w:br/>
        <w:t>Ritmo: Cualquiera, excepto el descrito en la</w:t>
      </w:r>
      <w:r w:rsidRPr="00DD78F2">
        <w:rPr>
          <w:rFonts w:ascii="Arial" w:eastAsia="Times New Roman" w:hAnsi="Arial" w:cs="Arial"/>
          <w:color w:val="333333"/>
          <w:sz w:val="18"/>
          <w:lang w:eastAsia="es-ES"/>
        </w:rPr>
        <w:t> </w:t>
      </w:r>
      <w:hyperlink r:id="rId12" w:anchor="ANEXO_2_4_3" w:history="1">
        <w:r w:rsidRPr="00DD78F2">
          <w:rPr>
            <w:rFonts w:ascii="Arial" w:eastAsia="Times New Roman" w:hAnsi="Arial" w:cs="Arial"/>
            <w:color w:val="006699"/>
            <w:sz w:val="18"/>
            <w:u w:val="single"/>
            <w:lang w:eastAsia="es-ES"/>
          </w:rPr>
          <w:t>sección 2.4.3</w:t>
        </w:r>
      </w:hyperlink>
      <w:r w:rsidRPr="00DD78F2">
        <w:rPr>
          <w:rFonts w:ascii="Arial" w:eastAsia="Times New Roman" w:hAnsi="Arial" w:cs="Arial"/>
          <w:color w:val="333333"/>
          <w:sz w:val="18"/>
          <w:szCs w:val="18"/>
          <w:lang w:eastAsia="es-ES"/>
        </w:rPr>
        <w:t>.</w:t>
      </w:r>
    </w:p>
    <w:p w:rsidR="00DD78F2" w:rsidRPr="00DD78F2" w:rsidRDefault="00DD78F2" w:rsidP="00DD78F2">
      <w:pPr>
        <w:spacing w:before="240" w:after="240" w:line="270" w:lineRule="atLeast"/>
        <w:jc w:val="center"/>
        <w:rPr>
          <w:rFonts w:ascii="Arial" w:eastAsia="Times New Roman" w:hAnsi="Arial" w:cs="Arial"/>
          <w:color w:val="333333"/>
          <w:sz w:val="18"/>
          <w:szCs w:val="18"/>
          <w:lang w:eastAsia="es-ES"/>
        </w:rPr>
      </w:pPr>
      <w:r>
        <w:rPr>
          <w:rFonts w:ascii="Arial" w:eastAsia="Times New Roman" w:hAnsi="Arial" w:cs="Arial"/>
          <w:noProof/>
          <w:color w:val="333333"/>
          <w:sz w:val="18"/>
          <w:szCs w:val="18"/>
          <w:lang w:eastAsia="es-ES"/>
        </w:rPr>
        <w:lastRenderedPageBreak/>
        <w:drawing>
          <wp:inline distT="0" distB="0" distL="0" distR="0">
            <wp:extent cx="5343525" cy="1390650"/>
            <wp:effectExtent l="19050" t="0" r="9525" b="0"/>
            <wp:docPr id="3" name="Imagen 3" descr="Figur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a 3"/>
                    <pic:cNvPicPr>
                      <a:picLocks noChangeAspect="1" noChangeArrowheads="1"/>
                    </pic:cNvPicPr>
                  </pic:nvPicPr>
                  <pic:blipFill>
                    <a:blip r:embed="rId13"/>
                    <a:srcRect/>
                    <a:stretch>
                      <a:fillRect/>
                    </a:stretch>
                  </pic:blipFill>
                  <pic:spPr bwMode="auto">
                    <a:xfrm>
                      <a:off x="0" y="0"/>
                      <a:ext cx="5343525" cy="1390650"/>
                    </a:xfrm>
                    <a:prstGeom prst="rect">
                      <a:avLst/>
                    </a:prstGeom>
                    <a:noFill/>
                    <a:ln w="9525">
                      <a:noFill/>
                      <a:miter lim="800000"/>
                      <a:headEnd/>
                      <a:tailEnd/>
                    </a:ln>
                  </pic:spPr>
                </pic:pic>
              </a:graphicData>
            </a:graphic>
          </wp:inline>
        </w:drawing>
      </w:r>
    </w:p>
    <w:p w:rsidR="00DD78F2" w:rsidRPr="00DD78F2" w:rsidRDefault="00DD78F2" w:rsidP="00DD78F2">
      <w:pPr>
        <w:spacing w:before="240" w:after="240" w:line="270" w:lineRule="atLeast"/>
        <w:rPr>
          <w:rFonts w:ascii="Arial" w:eastAsia="Times New Roman" w:hAnsi="Arial" w:cs="Arial"/>
          <w:color w:val="333333"/>
          <w:sz w:val="18"/>
          <w:szCs w:val="18"/>
          <w:lang w:eastAsia="es-ES"/>
        </w:rPr>
      </w:pPr>
      <w:bookmarkStart w:id="10" w:name="ANEXO_2_4_3"/>
      <w:bookmarkEnd w:id="10"/>
      <w:r w:rsidRPr="00DD78F2">
        <w:rPr>
          <w:rFonts w:ascii="Arial" w:eastAsia="Times New Roman" w:hAnsi="Arial" w:cs="Arial"/>
          <w:color w:val="333333"/>
          <w:sz w:val="18"/>
          <w:szCs w:val="18"/>
          <w:lang w:eastAsia="es-ES"/>
        </w:rPr>
        <w:t>2.4.3 En el punto de bifurcación de un canal, siguiendo el sentido convencional de balizamiento, se puede indicar el canal principal mediante una marca lateral de babor o estribor modificada de la manera siguiente:</w:t>
      </w:r>
    </w:p>
    <w:p w:rsidR="00DD78F2" w:rsidRPr="00DD78F2" w:rsidRDefault="00DD78F2" w:rsidP="00DD78F2">
      <w:pPr>
        <w:spacing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2.4.3.1 Canal principal a estribor.</w:t>
      </w:r>
    </w:p>
    <w:p w:rsidR="00DD78F2" w:rsidRPr="00DD78F2" w:rsidRDefault="00DD78F2" w:rsidP="00DD78F2">
      <w:pPr>
        <w:spacing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Color: Verde con una banda ancha horizontal roja.</w:t>
      </w:r>
      <w:r w:rsidRPr="00DD78F2">
        <w:rPr>
          <w:rFonts w:ascii="Arial" w:eastAsia="Times New Roman" w:hAnsi="Arial" w:cs="Arial"/>
          <w:color w:val="333333"/>
          <w:sz w:val="18"/>
          <w:szCs w:val="18"/>
          <w:lang w:eastAsia="es-ES"/>
        </w:rPr>
        <w:br/>
        <w:t>Forma (boyas): Cilíndrica, de castillete o de espeque.</w:t>
      </w:r>
      <w:r w:rsidRPr="00DD78F2">
        <w:rPr>
          <w:rFonts w:ascii="Arial" w:eastAsia="Times New Roman" w:hAnsi="Arial" w:cs="Arial"/>
          <w:color w:val="333333"/>
          <w:sz w:val="18"/>
          <w:szCs w:val="18"/>
          <w:lang w:eastAsia="es-ES"/>
        </w:rPr>
        <w:br/>
        <w:t>Marca de tope (si tiene): Un cilindro verde.</w:t>
      </w:r>
      <w:r w:rsidRPr="00DD78F2">
        <w:rPr>
          <w:rFonts w:ascii="Arial" w:eastAsia="Times New Roman" w:hAnsi="Arial" w:cs="Arial"/>
          <w:color w:val="333333"/>
          <w:sz w:val="18"/>
          <w:szCs w:val="18"/>
          <w:lang w:eastAsia="es-ES"/>
        </w:rPr>
        <w:br/>
        <w:t>Luz (si tiene):</w:t>
      </w:r>
      <w:r w:rsidRPr="00DD78F2">
        <w:rPr>
          <w:rFonts w:ascii="Arial" w:eastAsia="Times New Roman" w:hAnsi="Arial" w:cs="Arial"/>
          <w:color w:val="333333"/>
          <w:sz w:val="18"/>
          <w:szCs w:val="18"/>
          <w:lang w:eastAsia="es-ES"/>
        </w:rPr>
        <w:br/>
        <w:t>Color: Verde.</w:t>
      </w:r>
      <w:r w:rsidRPr="00DD78F2">
        <w:rPr>
          <w:rFonts w:ascii="Arial" w:eastAsia="Times New Roman" w:hAnsi="Arial" w:cs="Arial"/>
          <w:color w:val="333333"/>
          <w:sz w:val="18"/>
          <w:szCs w:val="18"/>
          <w:lang w:eastAsia="es-ES"/>
        </w:rPr>
        <w:br/>
        <w:t xml:space="preserve">Ritmo: Grupos de dos más un destellos. </w:t>
      </w:r>
      <w:proofErr w:type="spellStart"/>
      <w:r w:rsidRPr="00DD78F2">
        <w:rPr>
          <w:rFonts w:ascii="Arial" w:eastAsia="Times New Roman" w:hAnsi="Arial" w:cs="Arial"/>
          <w:color w:val="333333"/>
          <w:sz w:val="18"/>
          <w:szCs w:val="18"/>
          <w:lang w:eastAsia="es-ES"/>
        </w:rPr>
        <w:t>GpD</w:t>
      </w:r>
      <w:proofErr w:type="spellEnd"/>
      <w:r w:rsidRPr="00DD78F2">
        <w:rPr>
          <w:rFonts w:ascii="Arial" w:eastAsia="Times New Roman" w:hAnsi="Arial" w:cs="Arial"/>
          <w:color w:val="333333"/>
          <w:sz w:val="18"/>
          <w:szCs w:val="18"/>
          <w:lang w:eastAsia="es-ES"/>
        </w:rPr>
        <w:t xml:space="preserve"> (2 + 1).</w:t>
      </w:r>
    </w:p>
    <w:p w:rsidR="00DD78F2" w:rsidRPr="00DD78F2" w:rsidRDefault="00DD78F2" w:rsidP="00DD78F2">
      <w:pPr>
        <w:spacing w:before="240"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2.4.3.2 Canal principal a babor.</w:t>
      </w:r>
    </w:p>
    <w:p w:rsidR="00DD78F2" w:rsidRPr="00DD78F2" w:rsidRDefault="00DD78F2" w:rsidP="00DD78F2">
      <w:pPr>
        <w:spacing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Color: Rojo con una banda ancha horizontal verde.</w:t>
      </w:r>
      <w:r w:rsidRPr="00DD78F2">
        <w:rPr>
          <w:rFonts w:ascii="Arial" w:eastAsia="Times New Roman" w:hAnsi="Arial" w:cs="Arial"/>
          <w:color w:val="333333"/>
          <w:sz w:val="18"/>
          <w:szCs w:val="18"/>
          <w:lang w:eastAsia="es-ES"/>
        </w:rPr>
        <w:br/>
        <w:t>Forma (boyas): Cónica, de castillete o de espeque.</w:t>
      </w:r>
      <w:r w:rsidRPr="00DD78F2">
        <w:rPr>
          <w:rFonts w:ascii="Arial" w:eastAsia="Times New Roman" w:hAnsi="Arial" w:cs="Arial"/>
          <w:color w:val="333333"/>
          <w:sz w:val="18"/>
          <w:szCs w:val="18"/>
          <w:lang w:eastAsia="es-ES"/>
        </w:rPr>
        <w:br/>
        <w:t>Marca de tope (si tiene): Un cono rojo con el vértice hacia arriba.</w:t>
      </w:r>
      <w:r w:rsidRPr="00DD78F2">
        <w:rPr>
          <w:rFonts w:ascii="Arial" w:eastAsia="Times New Roman" w:hAnsi="Arial" w:cs="Arial"/>
          <w:color w:val="333333"/>
          <w:sz w:val="18"/>
          <w:szCs w:val="18"/>
          <w:lang w:eastAsia="es-ES"/>
        </w:rPr>
        <w:br/>
        <w:t>Luz (si tiene):</w:t>
      </w:r>
      <w:r w:rsidRPr="00DD78F2">
        <w:rPr>
          <w:rFonts w:ascii="Arial" w:eastAsia="Times New Roman" w:hAnsi="Arial" w:cs="Arial"/>
          <w:color w:val="333333"/>
          <w:sz w:val="18"/>
          <w:szCs w:val="18"/>
          <w:lang w:eastAsia="es-ES"/>
        </w:rPr>
        <w:br/>
        <w:t>Color: Rojo.</w:t>
      </w:r>
      <w:r w:rsidRPr="00DD78F2">
        <w:rPr>
          <w:rFonts w:ascii="Arial" w:eastAsia="Times New Roman" w:hAnsi="Arial" w:cs="Arial"/>
          <w:color w:val="333333"/>
          <w:sz w:val="18"/>
          <w:szCs w:val="18"/>
          <w:lang w:eastAsia="es-ES"/>
        </w:rPr>
        <w:br/>
        <w:t xml:space="preserve">Ritmo: Grupos de dos más un destellos. </w:t>
      </w:r>
      <w:proofErr w:type="spellStart"/>
      <w:r w:rsidRPr="00DD78F2">
        <w:rPr>
          <w:rFonts w:ascii="Arial" w:eastAsia="Times New Roman" w:hAnsi="Arial" w:cs="Arial"/>
          <w:color w:val="333333"/>
          <w:sz w:val="18"/>
          <w:szCs w:val="18"/>
          <w:lang w:eastAsia="es-ES"/>
        </w:rPr>
        <w:t>GpD</w:t>
      </w:r>
      <w:proofErr w:type="spellEnd"/>
      <w:r w:rsidRPr="00DD78F2">
        <w:rPr>
          <w:rFonts w:ascii="Arial" w:eastAsia="Times New Roman" w:hAnsi="Arial" w:cs="Arial"/>
          <w:color w:val="333333"/>
          <w:sz w:val="18"/>
          <w:szCs w:val="18"/>
          <w:lang w:eastAsia="es-ES"/>
        </w:rPr>
        <w:t xml:space="preserve"> (2 + 1).</w:t>
      </w:r>
    </w:p>
    <w:p w:rsidR="00DD78F2" w:rsidRPr="00DD78F2" w:rsidRDefault="00DD78F2" w:rsidP="00DD78F2">
      <w:pPr>
        <w:spacing w:before="240" w:line="270" w:lineRule="atLeast"/>
        <w:jc w:val="center"/>
        <w:rPr>
          <w:rFonts w:ascii="Arial" w:eastAsia="Times New Roman" w:hAnsi="Arial" w:cs="Arial"/>
          <w:color w:val="333333"/>
          <w:sz w:val="18"/>
          <w:szCs w:val="18"/>
          <w:lang w:eastAsia="es-ES"/>
        </w:rPr>
      </w:pPr>
      <w:r>
        <w:rPr>
          <w:rFonts w:ascii="Arial" w:eastAsia="Times New Roman" w:hAnsi="Arial" w:cs="Arial"/>
          <w:noProof/>
          <w:color w:val="333333"/>
          <w:sz w:val="18"/>
          <w:szCs w:val="18"/>
          <w:lang w:eastAsia="es-ES"/>
        </w:rPr>
        <w:drawing>
          <wp:inline distT="0" distB="0" distL="0" distR="0">
            <wp:extent cx="5353050" cy="1390650"/>
            <wp:effectExtent l="19050" t="0" r="0" b="0"/>
            <wp:docPr id="4" name="Imagen 4" descr="Figur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ura 4"/>
                    <pic:cNvPicPr>
                      <a:picLocks noChangeAspect="1" noChangeArrowheads="1"/>
                    </pic:cNvPicPr>
                  </pic:nvPicPr>
                  <pic:blipFill>
                    <a:blip r:embed="rId14"/>
                    <a:srcRect/>
                    <a:stretch>
                      <a:fillRect/>
                    </a:stretch>
                  </pic:blipFill>
                  <pic:spPr bwMode="auto">
                    <a:xfrm>
                      <a:off x="0" y="0"/>
                      <a:ext cx="5353050" cy="1390650"/>
                    </a:xfrm>
                    <a:prstGeom prst="rect">
                      <a:avLst/>
                    </a:prstGeom>
                    <a:noFill/>
                    <a:ln w="9525">
                      <a:noFill/>
                      <a:miter lim="800000"/>
                      <a:headEnd/>
                      <a:tailEnd/>
                    </a:ln>
                  </pic:spPr>
                </pic:pic>
              </a:graphicData>
            </a:graphic>
          </wp:inline>
        </w:drawing>
      </w:r>
    </w:p>
    <w:p w:rsidR="00DD78F2" w:rsidRPr="00DD78F2" w:rsidRDefault="00DD78F2" w:rsidP="00DD78F2">
      <w:pPr>
        <w:spacing w:before="240" w:after="240" w:line="270" w:lineRule="atLeast"/>
        <w:outlineLvl w:val="4"/>
        <w:rPr>
          <w:rFonts w:ascii="Arial" w:eastAsia="Times New Roman" w:hAnsi="Arial" w:cs="Arial"/>
          <w:b/>
          <w:bCs/>
          <w:color w:val="333333"/>
          <w:sz w:val="20"/>
          <w:szCs w:val="20"/>
          <w:lang w:eastAsia="es-ES"/>
        </w:rPr>
      </w:pPr>
      <w:bookmarkStart w:id="11" w:name="ANEXO_2_5"/>
      <w:bookmarkEnd w:id="11"/>
      <w:r w:rsidRPr="00DD78F2">
        <w:rPr>
          <w:rFonts w:ascii="Arial" w:eastAsia="Times New Roman" w:hAnsi="Arial" w:cs="Arial"/>
          <w:b/>
          <w:bCs/>
          <w:color w:val="333333"/>
          <w:sz w:val="20"/>
          <w:szCs w:val="20"/>
          <w:lang w:eastAsia="es-ES"/>
        </w:rPr>
        <w:t>2.5 Reglas generales para las marcas laterales.</w:t>
      </w:r>
    </w:p>
    <w:p w:rsidR="00DD78F2" w:rsidRPr="00DD78F2" w:rsidRDefault="00DD78F2" w:rsidP="00DD78F2">
      <w:pPr>
        <w:spacing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2.5.1 Formas.</w:t>
      </w:r>
    </w:p>
    <w:p w:rsidR="00DD78F2" w:rsidRPr="00DD78F2" w:rsidRDefault="00DD78F2" w:rsidP="00DD78F2">
      <w:pPr>
        <w:spacing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Cuando las marcas laterales no se puedan identificar por la forma de boya cilíndrica o cónica, deberán estar provistas, siempre que sea posible, de la marca de tope adecuada.</w:t>
      </w:r>
    </w:p>
    <w:p w:rsidR="00DD78F2" w:rsidRPr="00DD78F2" w:rsidRDefault="00DD78F2" w:rsidP="00DD78F2">
      <w:pPr>
        <w:spacing w:before="240"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2.5.2 Ordenación numérica o alfabética.</w:t>
      </w:r>
    </w:p>
    <w:p w:rsidR="00DD78F2" w:rsidRPr="00DD78F2" w:rsidRDefault="00DD78F2" w:rsidP="00DD78F2">
      <w:pPr>
        <w:spacing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Si las marcas de las márgenes del canal están ordenadas mediante números o letras, la sucesión numérica o alfabética seguirá el sentido convencional del balizamiento.</w:t>
      </w:r>
    </w:p>
    <w:p w:rsidR="00DD78F2" w:rsidRPr="00DD78F2" w:rsidRDefault="00DD78F2" w:rsidP="00DD78F2">
      <w:pPr>
        <w:spacing w:before="240" w:after="240" w:line="270" w:lineRule="atLeast"/>
        <w:outlineLvl w:val="3"/>
        <w:rPr>
          <w:rFonts w:ascii="Segoe UI" w:eastAsia="Times New Roman" w:hAnsi="Segoe UI" w:cs="Segoe UI"/>
          <w:b/>
          <w:bCs/>
          <w:caps/>
          <w:color w:val="333333"/>
          <w:sz w:val="18"/>
          <w:szCs w:val="18"/>
          <w:lang w:eastAsia="es-ES"/>
        </w:rPr>
      </w:pPr>
      <w:bookmarkStart w:id="12" w:name="ANEXO_3"/>
      <w:bookmarkEnd w:id="12"/>
      <w:r w:rsidRPr="00DD78F2">
        <w:rPr>
          <w:rFonts w:ascii="Segoe UI" w:eastAsia="Times New Roman" w:hAnsi="Segoe UI" w:cs="Segoe UI"/>
          <w:b/>
          <w:bCs/>
          <w:caps/>
          <w:color w:val="333333"/>
          <w:sz w:val="18"/>
          <w:szCs w:val="18"/>
          <w:lang w:eastAsia="es-ES"/>
        </w:rPr>
        <w:lastRenderedPageBreak/>
        <w:t>3. MARCAS CARDINALES</w:t>
      </w:r>
    </w:p>
    <w:p w:rsidR="00DD78F2" w:rsidRPr="00DD78F2" w:rsidRDefault="00DD78F2" w:rsidP="00DD78F2">
      <w:pPr>
        <w:spacing w:before="240" w:after="240" w:line="270" w:lineRule="atLeast"/>
        <w:outlineLvl w:val="3"/>
        <w:rPr>
          <w:rFonts w:ascii="Segoe UI" w:eastAsia="Times New Roman" w:hAnsi="Segoe UI" w:cs="Segoe UI"/>
          <w:b/>
          <w:bCs/>
          <w:caps/>
          <w:color w:val="333333"/>
          <w:sz w:val="18"/>
          <w:szCs w:val="18"/>
          <w:lang w:eastAsia="es-ES"/>
        </w:rPr>
      </w:pPr>
      <w:bookmarkStart w:id="13" w:name="ANEXO_3_1"/>
      <w:bookmarkEnd w:id="13"/>
      <w:r w:rsidRPr="00DD78F2">
        <w:rPr>
          <w:rFonts w:ascii="Segoe UI" w:eastAsia="Times New Roman" w:hAnsi="Segoe UI" w:cs="Segoe UI"/>
          <w:b/>
          <w:bCs/>
          <w:caps/>
          <w:color w:val="333333"/>
          <w:sz w:val="18"/>
          <w:szCs w:val="18"/>
          <w:lang w:eastAsia="es-ES"/>
        </w:rPr>
        <w:t>3.1 DEFINICIÓN DE LOS CUADRANTES Y DE LAS MARCAS CARDINALES.</w:t>
      </w:r>
    </w:p>
    <w:p w:rsidR="00DD78F2" w:rsidRPr="00DD78F2" w:rsidRDefault="00DD78F2" w:rsidP="00DD78F2">
      <w:pPr>
        <w:spacing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3.1.1 Los cuatro cuadrantes (Norte, Este, Sur y Oeste) están limitados por las demoras verdaderas NW-NE, NE-SE, SE-SW, SW-NW, tomadas desde el punto que interesa balizar.</w:t>
      </w:r>
    </w:p>
    <w:p w:rsidR="00DD78F2" w:rsidRPr="00DD78F2" w:rsidRDefault="00DD78F2" w:rsidP="00DD78F2">
      <w:pPr>
        <w:spacing w:before="240"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3.1.2 Una marca cardinal recibe el nombre del cuadrante en el que está colocada.</w:t>
      </w:r>
    </w:p>
    <w:p w:rsidR="00DD78F2" w:rsidRPr="00DD78F2" w:rsidRDefault="00DD78F2" w:rsidP="00DD78F2">
      <w:pPr>
        <w:spacing w:before="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3.1.3 El nombre de una marca cardinal indica que se ha de pasar por el cuadrante correspondiente a ese nombre.</w:t>
      </w:r>
    </w:p>
    <w:p w:rsidR="00DD78F2" w:rsidRPr="00DD78F2" w:rsidRDefault="00DD78F2" w:rsidP="00DD78F2">
      <w:pPr>
        <w:spacing w:before="240" w:after="240" w:line="270" w:lineRule="atLeast"/>
        <w:outlineLvl w:val="3"/>
        <w:rPr>
          <w:rFonts w:ascii="Segoe UI" w:eastAsia="Times New Roman" w:hAnsi="Segoe UI" w:cs="Segoe UI"/>
          <w:b/>
          <w:bCs/>
          <w:caps/>
          <w:color w:val="333333"/>
          <w:sz w:val="18"/>
          <w:szCs w:val="18"/>
          <w:lang w:eastAsia="es-ES"/>
        </w:rPr>
      </w:pPr>
      <w:bookmarkStart w:id="14" w:name="ANEXO_3_2"/>
      <w:bookmarkEnd w:id="14"/>
      <w:r w:rsidRPr="00DD78F2">
        <w:rPr>
          <w:rFonts w:ascii="Segoe UI" w:eastAsia="Times New Roman" w:hAnsi="Segoe UI" w:cs="Segoe UI"/>
          <w:b/>
          <w:bCs/>
          <w:caps/>
          <w:color w:val="333333"/>
          <w:sz w:val="18"/>
          <w:szCs w:val="18"/>
          <w:lang w:eastAsia="es-ES"/>
        </w:rPr>
        <w:t>3.2 UTILIZACIÓN DE LAS MARCAS CARDINALES.</w:t>
      </w:r>
    </w:p>
    <w:p w:rsidR="00DD78F2" w:rsidRPr="00DD78F2" w:rsidRDefault="00DD78F2" w:rsidP="00DD78F2">
      <w:pPr>
        <w:spacing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Una marca cardinal puede ser utilizada, por ejemplo:</w:t>
      </w:r>
    </w:p>
    <w:p w:rsidR="00DD78F2" w:rsidRPr="00DD78F2" w:rsidRDefault="00DD78F2" w:rsidP="00DD78F2">
      <w:pPr>
        <w:spacing w:before="240"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3.2.1 Para indicar que las aguas más profundas de esa zona se encuentran en el cuadrante correspondiente al nombre de la marca.</w:t>
      </w:r>
    </w:p>
    <w:p w:rsidR="00DD78F2" w:rsidRPr="00DD78F2" w:rsidRDefault="00DD78F2" w:rsidP="00DD78F2">
      <w:pPr>
        <w:spacing w:before="240"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3.2.2 Para indicar el lado por el que se ha de pasar para salvar un peligro.</w:t>
      </w:r>
    </w:p>
    <w:p w:rsidR="00DD78F2" w:rsidRPr="00DD78F2" w:rsidRDefault="00DD78F2" w:rsidP="00DD78F2">
      <w:pPr>
        <w:spacing w:before="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3.2.3 Para llamar la atención sobre una configuración especial de un canal, tal como un recodo, una confluencia, una bifurcación o el extremo de un bajo fondo.</w:t>
      </w:r>
    </w:p>
    <w:p w:rsidR="00DD78F2" w:rsidRPr="00DD78F2" w:rsidRDefault="00DD78F2" w:rsidP="00DD78F2">
      <w:pPr>
        <w:spacing w:before="240" w:after="240" w:line="270" w:lineRule="atLeast"/>
        <w:outlineLvl w:val="3"/>
        <w:rPr>
          <w:rFonts w:ascii="Segoe UI" w:eastAsia="Times New Roman" w:hAnsi="Segoe UI" w:cs="Segoe UI"/>
          <w:b/>
          <w:bCs/>
          <w:caps/>
          <w:color w:val="333333"/>
          <w:sz w:val="18"/>
          <w:szCs w:val="18"/>
          <w:lang w:eastAsia="es-ES"/>
        </w:rPr>
      </w:pPr>
      <w:bookmarkStart w:id="15" w:name="ANEXO_3_3"/>
      <w:bookmarkEnd w:id="15"/>
      <w:r w:rsidRPr="00DD78F2">
        <w:rPr>
          <w:rFonts w:ascii="Segoe UI" w:eastAsia="Times New Roman" w:hAnsi="Segoe UI" w:cs="Segoe UI"/>
          <w:b/>
          <w:bCs/>
          <w:caps/>
          <w:color w:val="333333"/>
          <w:sz w:val="18"/>
          <w:szCs w:val="18"/>
          <w:lang w:eastAsia="es-ES"/>
        </w:rPr>
        <w:t>3.3 DESCRIPCIÓN DE LAS MARCAS CARDINALES.</w:t>
      </w:r>
    </w:p>
    <w:p w:rsidR="00DD78F2" w:rsidRPr="00DD78F2" w:rsidRDefault="00DD78F2" w:rsidP="00DD78F2">
      <w:pPr>
        <w:spacing w:after="240" w:line="270" w:lineRule="atLeast"/>
        <w:jc w:val="center"/>
        <w:rPr>
          <w:rFonts w:ascii="Arial" w:eastAsia="Times New Roman" w:hAnsi="Arial" w:cs="Arial"/>
          <w:color w:val="333333"/>
          <w:sz w:val="18"/>
          <w:szCs w:val="18"/>
          <w:lang w:eastAsia="es-ES"/>
        </w:rPr>
      </w:pPr>
      <w:r>
        <w:rPr>
          <w:rFonts w:ascii="Arial" w:eastAsia="Times New Roman" w:hAnsi="Arial" w:cs="Arial"/>
          <w:noProof/>
          <w:color w:val="333333"/>
          <w:sz w:val="18"/>
          <w:szCs w:val="18"/>
          <w:lang w:eastAsia="es-ES"/>
        </w:rPr>
        <w:lastRenderedPageBreak/>
        <w:drawing>
          <wp:inline distT="0" distB="0" distL="0" distR="0">
            <wp:extent cx="4762500" cy="4762500"/>
            <wp:effectExtent l="19050" t="0" r="0" b="0"/>
            <wp:docPr id="5" name="Imagen 5" descr="Figur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ura 5"/>
                    <pic:cNvPicPr>
                      <a:picLocks noChangeAspect="1" noChangeArrowheads="1"/>
                    </pic:cNvPicPr>
                  </pic:nvPicPr>
                  <pic:blipFill>
                    <a:blip r:embed="rId15"/>
                    <a:srcRect/>
                    <a:stretch>
                      <a:fillRect/>
                    </a:stretch>
                  </pic:blipFill>
                  <pic:spPr bwMode="auto">
                    <a:xfrm>
                      <a:off x="0" y="0"/>
                      <a:ext cx="4762500" cy="4762500"/>
                    </a:xfrm>
                    <a:prstGeom prst="rect">
                      <a:avLst/>
                    </a:prstGeom>
                    <a:noFill/>
                    <a:ln w="9525">
                      <a:noFill/>
                      <a:miter lim="800000"/>
                      <a:headEnd/>
                      <a:tailEnd/>
                    </a:ln>
                  </pic:spPr>
                </pic:pic>
              </a:graphicData>
            </a:graphic>
          </wp:inline>
        </w:drawing>
      </w:r>
    </w:p>
    <w:p w:rsidR="00DD78F2" w:rsidRPr="00DD78F2" w:rsidRDefault="00DD78F2" w:rsidP="00DD78F2">
      <w:pPr>
        <w:spacing w:before="240"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3.3.1 Marca cardinal Norte.</w:t>
      </w:r>
    </w:p>
    <w:p w:rsidR="00DD78F2" w:rsidRPr="00DD78F2" w:rsidRDefault="00DD78F2" w:rsidP="00DD78F2">
      <w:pPr>
        <w:spacing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Marca de tope</w:t>
      </w:r>
      <w:r w:rsidRPr="00DD78F2">
        <w:rPr>
          <w:rFonts w:ascii="Arial" w:eastAsia="Times New Roman" w:hAnsi="Arial" w:cs="Arial"/>
          <w:color w:val="333333"/>
          <w:sz w:val="18"/>
          <w:lang w:eastAsia="es-ES"/>
        </w:rPr>
        <w:t> </w:t>
      </w:r>
      <w:r w:rsidRPr="00DD78F2">
        <w:rPr>
          <w:rFonts w:ascii="Arial" w:eastAsia="Times New Roman" w:hAnsi="Arial" w:cs="Arial"/>
          <w:color w:val="333333"/>
          <w:sz w:val="18"/>
          <w:szCs w:val="18"/>
          <w:vertAlign w:val="superscript"/>
          <w:lang w:eastAsia="es-ES"/>
        </w:rPr>
        <w:t>(a)</w:t>
      </w:r>
      <w:r w:rsidRPr="00DD78F2">
        <w:rPr>
          <w:rFonts w:ascii="Arial" w:eastAsia="Times New Roman" w:hAnsi="Arial" w:cs="Arial"/>
          <w:color w:val="333333"/>
          <w:sz w:val="18"/>
          <w:szCs w:val="18"/>
          <w:lang w:eastAsia="es-ES"/>
        </w:rPr>
        <w:t>: Dos conos negros superpuestos con los vértices hacia arriba.</w:t>
      </w:r>
      <w:r w:rsidRPr="00DD78F2">
        <w:rPr>
          <w:rFonts w:ascii="Arial" w:eastAsia="Times New Roman" w:hAnsi="Arial" w:cs="Arial"/>
          <w:color w:val="333333"/>
          <w:sz w:val="18"/>
          <w:szCs w:val="18"/>
          <w:lang w:eastAsia="es-ES"/>
        </w:rPr>
        <w:br/>
        <w:t>Color Negro sobre amarillo.</w:t>
      </w:r>
      <w:r w:rsidRPr="00DD78F2">
        <w:rPr>
          <w:rFonts w:ascii="Arial" w:eastAsia="Times New Roman" w:hAnsi="Arial" w:cs="Arial"/>
          <w:color w:val="333333"/>
          <w:sz w:val="18"/>
          <w:szCs w:val="18"/>
          <w:lang w:eastAsia="es-ES"/>
        </w:rPr>
        <w:br/>
        <w:t>Forma: De castillete o de espeque.</w:t>
      </w:r>
      <w:r w:rsidRPr="00DD78F2">
        <w:rPr>
          <w:rFonts w:ascii="Arial" w:eastAsia="Times New Roman" w:hAnsi="Arial" w:cs="Arial"/>
          <w:color w:val="333333"/>
          <w:sz w:val="18"/>
          <w:szCs w:val="18"/>
          <w:lang w:eastAsia="es-ES"/>
        </w:rPr>
        <w:br/>
        <w:t>Luz (si tiene):</w:t>
      </w:r>
      <w:r w:rsidRPr="00DD78F2">
        <w:rPr>
          <w:rFonts w:ascii="Arial" w:eastAsia="Times New Roman" w:hAnsi="Arial" w:cs="Arial"/>
          <w:color w:val="333333"/>
          <w:sz w:val="18"/>
          <w:szCs w:val="18"/>
          <w:lang w:eastAsia="es-ES"/>
        </w:rPr>
        <w:br/>
        <w:t>Color: Blanco.</w:t>
      </w:r>
      <w:r w:rsidRPr="00DD78F2">
        <w:rPr>
          <w:rFonts w:ascii="Arial" w:eastAsia="Times New Roman" w:hAnsi="Arial" w:cs="Arial"/>
          <w:color w:val="333333"/>
          <w:sz w:val="18"/>
          <w:szCs w:val="18"/>
          <w:lang w:eastAsia="es-ES"/>
        </w:rPr>
        <w:br/>
        <w:t xml:space="preserve">Ritmo: Centelleante rápido </w:t>
      </w:r>
      <w:proofErr w:type="gramStart"/>
      <w:r w:rsidRPr="00DD78F2">
        <w:rPr>
          <w:rFonts w:ascii="Arial" w:eastAsia="Times New Roman" w:hAnsi="Arial" w:cs="Arial"/>
          <w:color w:val="333333"/>
          <w:sz w:val="18"/>
          <w:szCs w:val="18"/>
          <w:lang w:eastAsia="es-ES"/>
        </w:rPr>
        <w:t>continuo</w:t>
      </w:r>
      <w:proofErr w:type="gramEnd"/>
      <w:r w:rsidRPr="00DD78F2">
        <w:rPr>
          <w:rFonts w:ascii="Arial" w:eastAsia="Times New Roman" w:hAnsi="Arial" w:cs="Arial"/>
          <w:color w:val="333333"/>
          <w:sz w:val="18"/>
          <w:szCs w:val="18"/>
          <w:lang w:eastAsia="es-ES"/>
        </w:rPr>
        <w:t xml:space="preserve"> </w:t>
      </w:r>
      <w:proofErr w:type="spellStart"/>
      <w:r w:rsidRPr="00DD78F2">
        <w:rPr>
          <w:rFonts w:ascii="Arial" w:eastAsia="Times New Roman" w:hAnsi="Arial" w:cs="Arial"/>
          <w:color w:val="333333"/>
          <w:sz w:val="18"/>
          <w:szCs w:val="18"/>
          <w:lang w:eastAsia="es-ES"/>
        </w:rPr>
        <w:t>Rp</w:t>
      </w:r>
      <w:proofErr w:type="spellEnd"/>
      <w:r w:rsidRPr="00DD78F2">
        <w:rPr>
          <w:rFonts w:ascii="Arial" w:eastAsia="Times New Roman" w:hAnsi="Arial" w:cs="Arial"/>
          <w:color w:val="333333"/>
          <w:sz w:val="18"/>
          <w:szCs w:val="18"/>
          <w:lang w:eastAsia="es-ES"/>
        </w:rPr>
        <w:t xml:space="preserve"> o centelleante continuo </w:t>
      </w:r>
      <w:proofErr w:type="spellStart"/>
      <w:r w:rsidRPr="00DD78F2">
        <w:rPr>
          <w:rFonts w:ascii="Arial" w:eastAsia="Times New Roman" w:hAnsi="Arial" w:cs="Arial"/>
          <w:color w:val="333333"/>
          <w:sz w:val="18"/>
          <w:szCs w:val="18"/>
          <w:lang w:eastAsia="es-ES"/>
        </w:rPr>
        <w:t>Ct.</w:t>
      </w:r>
      <w:proofErr w:type="spellEnd"/>
    </w:p>
    <w:p w:rsidR="00DD78F2" w:rsidRPr="00DD78F2" w:rsidRDefault="00DD78F2" w:rsidP="00DD78F2">
      <w:pPr>
        <w:spacing w:before="240"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3.3.2 Marca cardinal Este.</w:t>
      </w:r>
    </w:p>
    <w:p w:rsidR="00DD78F2" w:rsidRPr="00DD78F2" w:rsidRDefault="00DD78F2" w:rsidP="00DD78F2">
      <w:pPr>
        <w:spacing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Marca de tope</w:t>
      </w:r>
      <w:r w:rsidRPr="00DD78F2">
        <w:rPr>
          <w:rFonts w:ascii="Arial" w:eastAsia="Times New Roman" w:hAnsi="Arial" w:cs="Arial"/>
          <w:color w:val="333333"/>
          <w:sz w:val="18"/>
          <w:lang w:eastAsia="es-ES"/>
        </w:rPr>
        <w:t> </w:t>
      </w:r>
      <w:r w:rsidRPr="00DD78F2">
        <w:rPr>
          <w:rFonts w:ascii="Arial" w:eastAsia="Times New Roman" w:hAnsi="Arial" w:cs="Arial"/>
          <w:color w:val="333333"/>
          <w:sz w:val="18"/>
          <w:szCs w:val="18"/>
          <w:vertAlign w:val="superscript"/>
          <w:lang w:eastAsia="es-ES"/>
        </w:rPr>
        <w:t>(a)</w:t>
      </w:r>
      <w:r w:rsidRPr="00DD78F2">
        <w:rPr>
          <w:rFonts w:ascii="Arial" w:eastAsia="Times New Roman" w:hAnsi="Arial" w:cs="Arial"/>
          <w:color w:val="333333"/>
          <w:sz w:val="18"/>
          <w:szCs w:val="18"/>
          <w:lang w:eastAsia="es-ES"/>
        </w:rPr>
        <w:t>: Dos conos negros superpuestos, opuestos por sus bases.</w:t>
      </w:r>
      <w:r w:rsidRPr="00DD78F2">
        <w:rPr>
          <w:rFonts w:ascii="Arial" w:eastAsia="Times New Roman" w:hAnsi="Arial" w:cs="Arial"/>
          <w:color w:val="333333"/>
          <w:sz w:val="18"/>
          <w:szCs w:val="18"/>
          <w:lang w:eastAsia="es-ES"/>
        </w:rPr>
        <w:br/>
        <w:t>Color: Negro con una ancha banda horizontal amarilla.</w:t>
      </w:r>
      <w:r w:rsidRPr="00DD78F2">
        <w:rPr>
          <w:rFonts w:ascii="Arial" w:eastAsia="Times New Roman" w:hAnsi="Arial" w:cs="Arial"/>
          <w:color w:val="333333"/>
          <w:sz w:val="18"/>
          <w:szCs w:val="18"/>
          <w:lang w:eastAsia="es-ES"/>
        </w:rPr>
        <w:br/>
        <w:t>Forma: De castillete o de espeque.</w:t>
      </w:r>
      <w:r w:rsidRPr="00DD78F2">
        <w:rPr>
          <w:rFonts w:ascii="Arial" w:eastAsia="Times New Roman" w:hAnsi="Arial" w:cs="Arial"/>
          <w:color w:val="333333"/>
          <w:sz w:val="18"/>
          <w:szCs w:val="18"/>
          <w:lang w:eastAsia="es-ES"/>
        </w:rPr>
        <w:br/>
        <w:t>Luz (si tiene):</w:t>
      </w:r>
      <w:r w:rsidRPr="00DD78F2">
        <w:rPr>
          <w:rFonts w:ascii="Arial" w:eastAsia="Times New Roman" w:hAnsi="Arial" w:cs="Arial"/>
          <w:color w:val="333333"/>
          <w:sz w:val="18"/>
          <w:szCs w:val="18"/>
          <w:lang w:eastAsia="es-ES"/>
        </w:rPr>
        <w:br/>
        <w:t>Color: Blanco.</w:t>
      </w:r>
      <w:r w:rsidRPr="00DD78F2">
        <w:rPr>
          <w:rFonts w:ascii="Arial" w:eastAsia="Times New Roman" w:hAnsi="Arial" w:cs="Arial"/>
          <w:color w:val="333333"/>
          <w:sz w:val="18"/>
          <w:szCs w:val="18"/>
          <w:lang w:eastAsia="es-ES"/>
        </w:rPr>
        <w:br/>
        <w:t xml:space="preserve">Ritmo: Centelleante rápido de grupos de tres centelleos </w:t>
      </w:r>
      <w:proofErr w:type="spellStart"/>
      <w:r w:rsidRPr="00DD78F2">
        <w:rPr>
          <w:rFonts w:ascii="Arial" w:eastAsia="Times New Roman" w:hAnsi="Arial" w:cs="Arial"/>
          <w:color w:val="333333"/>
          <w:sz w:val="18"/>
          <w:szCs w:val="18"/>
          <w:lang w:eastAsia="es-ES"/>
        </w:rPr>
        <w:t>GpRp</w:t>
      </w:r>
      <w:proofErr w:type="spellEnd"/>
      <w:r w:rsidRPr="00DD78F2">
        <w:rPr>
          <w:rFonts w:ascii="Arial" w:eastAsia="Times New Roman" w:hAnsi="Arial" w:cs="Arial"/>
          <w:color w:val="333333"/>
          <w:sz w:val="18"/>
          <w:szCs w:val="18"/>
          <w:lang w:eastAsia="es-ES"/>
        </w:rPr>
        <w:t xml:space="preserve"> (3) cada cinco segundos, o centelleante de grupos de tres centelleos </w:t>
      </w:r>
      <w:proofErr w:type="spellStart"/>
      <w:r w:rsidRPr="00DD78F2">
        <w:rPr>
          <w:rFonts w:ascii="Arial" w:eastAsia="Times New Roman" w:hAnsi="Arial" w:cs="Arial"/>
          <w:color w:val="333333"/>
          <w:sz w:val="18"/>
          <w:szCs w:val="18"/>
          <w:lang w:eastAsia="es-ES"/>
        </w:rPr>
        <w:t>GpCt</w:t>
      </w:r>
      <w:proofErr w:type="spellEnd"/>
      <w:r w:rsidRPr="00DD78F2">
        <w:rPr>
          <w:rFonts w:ascii="Arial" w:eastAsia="Times New Roman" w:hAnsi="Arial" w:cs="Arial"/>
          <w:color w:val="333333"/>
          <w:sz w:val="18"/>
          <w:szCs w:val="18"/>
          <w:lang w:eastAsia="es-ES"/>
        </w:rPr>
        <w:t xml:space="preserve"> (3) cada diez segundos.</w:t>
      </w:r>
    </w:p>
    <w:p w:rsidR="00DD78F2" w:rsidRPr="00DD78F2" w:rsidRDefault="00DD78F2" w:rsidP="00DD78F2">
      <w:pPr>
        <w:spacing w:before="240"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3.3.3 Marca cardinal Sur.</w:t>
      </w:r>
    </w:p>
    <w:p w:rsidR="00DD78F2" w:rsidRPr="00DD78F2" w:rsidRDefault="00DD78F2" w:rsidP="00DD78F2">
      <w:pPr>
        <w:spacing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Marca de tope</w:t>
      </w:r>
      <w:r w:rsidRPr="00DD78F2">
        <w:rPr>
          <w:rFonts w:ascii="Arial" w:eastAsia="Times New Roman" w:hAnsi="Arial" w:cs="Arial"/>
          <w:color w:val="333333"/>
          <w:sz w:val="18"/>
          <w:lang w:eastAsia="es-ES"/>
        </w:rPr>
        <w:t> </w:t>
      </w:r>
      <w:r w:rsidRPr="00DD78F2">
        <w:rPr>
          <w:rFonts w:ascii="Arial" w:eastAsia="Times New Roman" w:hAnsi="Arial" w:cs="Arial"/>
          <w:color w:val="333333"/>
          <w:sz w:val="18"/>
          <w:szCs w:val="18"/>
          <w:vertAlign w:val="superscript"/>
          <w:lang w:eastAsia="es-ES"/>
        </w:rPr>
        <w:t>(a)</w:t>
      </w:r>
      <w:r w:rsidRPr="00DD78F2">
        <w:rPr>
          <w:rFonts w:ascii="Arial" w:eastAsia="Times New Roman" w:hAnsi="Arial" w:cs="Arial"/>
          <w:color w:val="333333"/>
          <w:sz w:val="18"/>
          <w:szCs w:val="18"/>
          <w:lang w:eastAsia="es-ES"/>
        </w:rPr>
        <w:t>: Dos conos negros superpuestos con los vértices hacia abajo.</w:t>
      </w:r>
      <w:r w:rsidRPr="00DD78F2">
        <w:rPr>
          <w:rFonts w:ascii="Arial" w:eastAsia="Times New Roman" w:hAnsi="Arial" w:cs="Arial"/>
          <w:color w:val="333333"/>
          <w:sz w:val="18"/>
          <w:szCs w:val="18"/>
          <w:lang w:eastAsia="es-ES"/>
        </w:rPr>
        <w:br/>
        <w:t>Color: Amarillo sobre negro.</w:t>
      </w:r>
      <w:r w:rsidRPr="00DD78F2">
        <w:rPr>
          <w:rFonts w:ascii="Arial" w:eastAsia="Times New Roman" w:hAnsi="Arial" w:cs="Arial"/>
          <w:color w:val="333333"/>
          <w:sz w:val="18"/>
          <w:szCs w:val="18"/>
          <w:lang w:eastAsia="es-ES"/>
        </w:rPr>
        <w:br/>
      </w:r>
      <w:r w:rsidRPr="00DD78F2">
        <w:rPr>
          <w:rFonts w:ascii="Arial" w:eastAsia="Times New Roman" w:hAnsi="Arial" w:cs="Arial"/>
          <w:color w:val="333333"/>
          <w:sz w:val="18"/>
          <w:szCs w:val="18"/>
          <w:lang w:eastAsia="es-ES"/>
        </w:rPr>
        <w:lastRenderedPageBreak/>
        <w:t>Forma: De castillete o de espeque.</w:t>
      </w:r>
      <w:r w:rsidRPr="00DD78F2">
        <w:rPr>
          <w:rFonts w:ascii="Arial" w:eastAsia="Times New Roman" w:hAnsi="Arial" w:cs="Arial"/>
          <w:color w:val="333333"/>
          <w:sz w:val="18"/>
          <w:szCs w:val="18"/>
          <w:lang w:eastAsia="es-ES"/>
        </w:rPr>
        <w:br/>
        <w:t>Luz (si tiene):</w:t>
      </w:r>
      <w:r w:rsidRPr="00DD78F2">
        <w:rPr>
          <w:rFonts w:ascii="Arial" w:eastAsia="Times New Roman" w:hAnsi="Arial" w:cs="Arial"/>
          <w:color w:val="333333"/>
          <w:sz w:val="18"/>
          <w:szCs w:val="18"/>
          <w:lang w:eastAsia="es-ES"/>
        </w:rPr>
        <w:br/>
        <w:t>Color: Blanco.</w:t>
      </w:r>
      <w:r w:rsidRPr="00DD78F2">
        <w:rPr>
          <w:rFonts w:ascii="Arial" w:eastAsia="Times New Roman" w:hAnsi="Arial" w:cs="Arial"/>
          <w:color w:val="333333"/>
          <w:sz w:val="18"/>
          <w:szCs w:val="18"/>
          <w:lang w:eastAsia="es-ES"/>
        </w:rPr>
        <w:br/>
        <w:t xml:space="preserve">Ritmo: Centelleante rápido de grupos de seis centelleos </w:t>
      </w:r>
      <w:proofErr w:type="spellStart"/>
      <w:r w:rsidRPr="00DD78F2">
        <w:rPr>
          <w:rFonts w:ascii="Arial" w:eastAsia="Times New Roman" w:hAnsi="Arial" w:cs="Arial"/>
          <w:color w:val="333333"/>
          <w:sz w:val="18"/>
          <w:szCs w:val="18"/>
          <w:lang w:eastAsia="es-ES"/>
        </w:rPr>
        <w:t>GpRp</w:t>
      </w:r>
      <w:proofErr w:type="spellEnd"/>
      <w:r w:rsidRPr="00DD78F2">
        <w:rPr>
          <w:rFonts w:ascii="Arial" w:eastAsia="Times New Roman" w:hAnsi="Arial" w:cs="Arial"/>
          <w:color w:val="333333"/>
          <w:sz w:val="18"/>
          <w:szCs w:val="18"/>
          <w:lang w:eastAsia="es-ES"/>
        </w:rPr>
        <w:t xml:space="preserve"> (6) más un destello largo cada diez segundos o centelleante de grupos de seis centelleos </w:t>
      </w:r>
      <w:proofErr w:type="spellStart"/>
      <w:r w:rsidRPr="00DD78F2">
        <w:rPr>
          <w:rFonts w:ascii="Arial" w:eastAsia="Times New Roman" w:hAnsi="Arial" w:cs="Arial"/>
          <w:color w:val="333333"/>
          <w:sz w:val="18"/>
          <w:szCs w:val="18"/>
          <w:lang w:eastAsia="es-ES"/>
        </w:rPr>
        <w:t>GpCt</w:t>
      </w:r>
      <w:proofErr w:type="spellEnd"/>
      <w:r w:rsidRPr="00DD78F2">
        <w:rPr>
          <w:rFonts w:ascii="Arial" w:eastAsia="Times New Roman" w:hAnsi="Arial" w:cs="Arial"/>
          <w:color w:val="333333"/>
          <w:sz w:val="18"/>
          <w:szCs w:val="18"/>
          <w:lang w:eastAsia="es-ES"/>
        </w:rPr>
        <w:t xml:space="preserve"> (6) más un destello largo cada quince segundos.</w:t>
      </w:r>
    </w:p>
    <w:p w:rsidR="00DD78F2" w:rsidRPr="00DD78F2" w:rsidRDefault="00DD78F2" w:rsidP="00DD78F2">
      <w:pPr>
        <w:spacing w:before="240"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3.3.4 Marca cardinal Oeste.</w:t>
      </w:r>
    </w:p>
    <w:p w:rsidR="00DD78F2" w:rsidRPr="00DD78F2" w:rsidRDefault="00DD78F2" w:rsidP="00DD78F2">
      <w:pPr>
        <w:spacing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Marca de tope</w:t>
      </w:r>
      <w:r w:rsidRPr="00DD78F2">
        <w:rPr>
          <w:rFonts w:ascii="Arial" w:eastAsia="Times New Roman" w:hAnsi="Arial" w:cs="Arial"/>
          <w:color w:val="333333"/>
          <w:sz w:val="18"/>
          <w:lang w:eastAsia="es-ES"/>
        </w:rPr>
        <w:t> </w:t>
      </w:r>
      <w:r w:rsidRPr="00DD78F2">
        <w:rPr>
          <w:rFonts w:ascii="Arial" w:eastAsia="Times New Roman" w:hAnsi="Arial" w:cs="Arial"/>
          <w:color w:val="333333"/>
          <w:sz w:val="18"/>
          <w:szCs w:val="18"/>
          <w:vertAlign w:val="superscript"/>
          <w:lang w:eastAsia="es-ES"/>
        </w:rPr>
        <w:t>(a)</w:t>
      </w:r>
      <w:r w:rsidRPr="00DD78F2">
        <w:rPr>
          <w:rFonts w:ascii="Arial" w:eastAsia="Times New Roman" w:hAnsi="Arial" w:cs="Arial"/>
          <w:color w:val="333333"/>
          <w:sz w:val="18"/>
          <w:szCs w:val="18"/>
          <w:lang w:eastAsia="es-ES"/>
        </w:rPr>
        <w:t>: Dos conos negros superpuestos, opuestos por sus vértices.</w:t>
      </w:r>
      <w:r w:rsidRPr="00DD78F2">
        <w:rPr>
          <w:rFonts w:ascii="Arial" w:eastAsia="Times New Roman" w:hAnsi="Arial" w:cs="Arial"/>
          <w:color w:val="333333"/>
          <w:sz w:val="18"/>
          <w:lang w:eastAsia="es-ES"/>
        </w:rPr>
        <w:t> </w:t>
      </w:r>
      <w:r w:rsidRPr="00DD78F2">
        <w:rPr>
          <w:rFonts w:ascii="Arial" w:eastAsia="Times New Roman" w:hAnsi="Arial" w:cs="Arial"/>
          <w:color w:val="333333"/>
          <w:sz w:val="18"/>
          <w:szCs w:val="18"/>
          <w:lang w:eastAsia="es-ES"/>
        </w:rPr>
        <w:br/>
        <w:t>Color: Amarillo con una ancha banda horizontal negra.</w:t>
      </w:r>
      <w:r w:rsidRPr="00DD78F2">
        <w:rPr>
          <w:rFonts w:ascii="Arial" w:eastAsia="Times New Roman" w:hAnsi="Arial" w:cs="Arial"/>
          <w:color w:val="333333"/>
          <w:sz w:val="18"/>
          <w:szCs w:val="18"/>
          <w:lang w:eastAsia="es-ES"/>
        </w:rPr>
        <w:br/>
        <w:t>Forma De castillete o de espeque.</w:t>
      </w:r>
      <w:r w:rsidRPr="00DD78F2">
        <w:rPr>
          <w:rFonts w:ascii="Arial" w:eastAsia="Times New Roman" w:hAnsi="Arial" w:cs="Arial"/>
          <w:color w:val="333333"/>
          <w:sz w:val="18"/>
          <w:szCs w:val="18"/>
          <w:lang w:eastAsia="es-ES"/>
        </w:rPr>
        <w:br/>
        <w:t>Luz (si tiene):</w:t>
      </w:r>
      <w:r w:rsidRPr="00DD78F2">
        <w:rPr>
          <w:rFonts w:ascii="Arial" w:eastAsia="Times New Roman" w:hAnsi="Arial" w:cs="Arial"/>
          <w:color w:val="333333"/>
          <w:sz w:val="18"/>
          <w:szCs w:val="18"/>
          <w:lang w:eastAsia="es-ES"/>
        </w:rPr>
        <w:br/>
        <w:t>Color: Blanco.</w:t>
      </w:r>
      <w:r w:rsidRPr="00DD78F2">
        <w:rPr>
          <w:rFonts w:ascii="Arial" w:eastAsia="Times New Roman" w:hAnsi="Arial" w:cs="Arial"/>
          <w:color w:val="333333"/>
          <w:sz w:val="18"/>
          <w:szCs w:val="18"/>
          <w:lang w:eastAsia="es-ES"/>
        </w:rPr>
        <w:br/>
        <w:t xml:space="preserve">Ritmo: Centelleante rápido de grupos de nueve centelleos </w:t>
      </w:r>
      <w:proofErr w:type="spellStart"/>
      <w:r w:rsidRPr="00DD78F2">
        <w:rPr>
          <w:rFonts w:ascii="Arial" w:eastAsia="Times New Roman" w:hAnsi="Arial" w:cs="Arial"/>
          <w:color w:val="333333"/>
          <w:sz w:val="18"/>
          <w:szCs w:val="18"/>
          <w:lang w:eastAsia="es-ES"/>
        </w:rPr>
        <w:t>GpRp</w:t>
      </w:r>
      <w:proofErr w:type="spellEnd"/>
      <w:r w:rsidRPr="00DD78F2">
        <w:rPr>
          <w:rFonts w:ascii="Arial" w:eastAsia="Times New Roman" w:hAnsi="Arial" w:cs="Arial"/>
          <w:color w:val="333333"/>
          <w:sz w:val="18"/>
          <w:szCs w:val="18"/>
          <w:lang w:eastAsia="es-ES"/>
        </w:rPr>
        <w:t xml:space="preserve"> (9) cada diez segundos o centelleante de grupos de nueve centelleos </w:t>
      </w:r>
      <w:proofErr w:type="spellStart"/>
      <w:r w:rsidRPr="00DD78F2">
        <w:rPr>
          <w:rFonts w:ascii="Arial" w:eastAsia="Times New Roman" w:hAnsi="Arial" w:cs="Arial"/>
          <w:color w:val="333333"/>
          <w:sz w:val="18"/>
          <w:szCs w:val="18"/>
          <w:lang w:eastAsia="es-ES"/>
        </w:rPr>
        <w:t>GpCt</w:t>
      </w:r>
      <w:proofErr w:type="spellEnd"/>
      <w:r w:rsidRPr="00DD78F2">
        <w:rPr>
          <w:rFonts w:ascii="Arial" w:eastAsia="Times New Roman" w:hAnsi="Arial" w:cs="Arial"/>
          <w:color w:val="333333"/>
          <w:sz w:val="18"/>
          <w:szCs w:val="18"/>
          <w:lang w:eastAsia="es-ES"/>
        </w:rPr>
        <w:t xml:space="preserve"> (9) cada quince segundos.</w:t>
      </w:r>
    </w:p>
    <w:p w:rsidR="00DD78F2" w:rsidRPr="00DD78F2" w:rsidRDefault="00DD78F2" w:rsidP="00DD78F2">
      <w:pPr>
        <w:spacing w:before="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vertAlign w:val="superscript"/>
          <w:lang w:eastAsia="es-ES"/>
        </w:rPr>
        <w:t>(a)</w:t>
      </w:r>
      <w:r w:rsidRPr="00DD78F2">
        <w:rPr>
          <w:rFonts w:ascii="Arial" w:eastAsia="Times New Roman" w:hAnsi="Arial" w:cs="Arial"/>
          <w:color w:val="333333"/>
          <w:sz w:val="18"/>
          <w:lang w:eastAsia="es-ES"/>
        </w:rPr>
        <w:t> </w:t>
      </w:r>
      <w:r w:rsidRPr="00DD78F2">
        <w:rPr>
          <w:rFonts w:ascii="Arial" w:eastAsia="Times New Roman" w:hAnsi="Arial" w:cs="Arial"/>
          <w:color w:val="333333"/>
          <w:sz w:val="18"/>
          <w:szCs w:val="18"/>
          <w:lang w:eastAsia="es-ES"/>
        </w:rPr>
        <w:t>La marca de tope, formada por dos conos superpuestos, es la característica diurna más importante de toda marca Cardinal; deberá utilizarse siempre que se pueda y será del mayor tamaño posible, con una clara separación entre los dos conos.</w:t>
      </w:r>
      <w:r w:rsidRPr="00DD78F2">
        <w:rPr>
          <w:rFonts w:ascii="Arial" w:eastAsia="Times New Roman" w:hAnsi="Arial" w:cs="Arial"/>
          <w:color w:val="333333"/>
          <w:sz w:val="18"/>
          <w:szCs w:val="18"/>
          <w:lang w:eastAsia="es-ES"/>
        </w:rPr>
        <w:br/>
        <w:t>Nota: Ritmo centelleante rápido es el de una luz que produce 120 ó 100 destellos por minuto.</w:t>
      </w:r>
      <w:r w:rsidRPr="00DD78F2">
        <w:rPr>
          <w:rFonts w:ascii="Arial" w:eastAsia="Times New Roman" w:hAnsi="Arial" w:cs="Arial"/>
          <w:color w:val="333333"/>
          <w:sz w:val="18"/>
          <w:szCs w:val="18"/>
          <w:lang w:eastAsia="es-ES"/>
        </w:rPr>
        <w:br/>
        <w:t>Ritmo centelleante es el de una luz que produce 60 ó 50 destellos por minuto.</w:t>
      </w:r>
      <w:r w:rsidRPr="00DD78F2">
        <w:rPr>
          <w:rFonts w:ascii="Arial" w:eastAsia="Times New Roman" w:hAnsi="Arial" w:cs="Arial"/>
          <w:color w:val="333333"/>
          <w:sz w:val="18"/>
          <w:szCs w:val="18"/>
          <w:lang w:eastAsia="es-ES"/>
        </w:rPr>
        <w:br/>
        <w:t>Destello largo es el que tiene una duración de luz de dos segundos como mínimo.</w:t>
      </w:r>
    </w:p>
    <w:p w:rsidR="00DD78F2" w:rsidRPr="00DD78F2" w:rsidRDefault="00DD78F2" w:rsidP="00DD78F2">
      <w:pPr>
        <w:spacing w:before="240" w:after="240" w:line="270" w:lineRule="atLeast"/>
        <w:outlineLvl w:val="3"/>
        <w:rPr>
          <w:rFonts w:ascii="Segoe UI" w:eastAsia="Times New Roman" w:hAnsi="Segoe UI" w:cs="Segoe UI"/>
          <w:b/>
          <w:bCs/>
          <w:caps/>
          <w:color w:val="333333"/>
          <w:sz w:val="18"/>
          <w:szCs w:val="18"/>
          <w:lang w:eastAsia="es-ES"/>
        </w:rPr>
      </w:pPr>
      <w:bookmarkStart w:id="16" w:name="ANEXO_4"/>
      <w:bookmarkEnd w:id="16"/>
      <w:r w:rsidRPr="00DD78F2">
        <w:rPr>
          <w:rFonts w:ascii="Segoe UI" w:eastAsia="Times New Roman" w:hAnsi="Segoe UI" w:cs="Segoe UI"/>
          <w:b/>
          <w:bCs/>
          <w:caps/>
          <w:color w:val="333333"/>
          <w:sz w:val="18"/>
          <w:szCs w:val="18"/>
          <w:lang w:eastAsia="es-ES"/>
        </w:rPr>
        <w:t>4. MARCAS DE PELIGRO AISLADO</w:t>
      </w:r>
    </w:p>
    <w:p w:rsidR="00DD78F2" w:rsidRPr="00DD78F2" w:rsidRDefault="00DD78F2" w:rsidP="00DD78F2">
      <w:pPr>
        <w:spacing w:before="240" w:after="240" w:line="270" w:lineRule="atLeast"/>
        <w:outlineLvl w:val="4"/>
        <w:rPr>
          <w:rFonts w:ascii="Arial" w:eastAsia="Times New Roman" w:hAnsi="Arial" w:cs="Arial"/>
          <w:b/>
          <w:bCs/>
          <w:color w:val="333333"/>
          <w:sz w:val="20"/>
          <w:szCs w:val="20"/>
          <w:lang w:eastAsia="es-ES"/>
        </w:rPr>
      </w:pPr>
      <w:bookmarkStart w:id="17" w:name="ANEXO_4_1"/>
      <w:bookmarkEnd w:id="17"/>
      <w:r w:rsidRPr="00DD78F2">
        <w:rPr>
          <w:rFonts w:ascii="Arial" w:eastAsia="Times New Roman" w:hAnsi="Arial" w:cs="Arial"/>
          <w:b/>
          <w:bCs/>
          <w:color w:val="333333"/>
          <w:sz w:val="20"/>
          <w:szCs w:val="20"/>
          <w:lang w:eastAsia="es-ES"/>
        </w:rPr>
        <w:t>4.1 Definición de las marcas de peligro aislado.</w:t>
      </w:r>
    </w:p>
    <w:p w:rsidR="00DD78F2" w:rsidRPr="00DD78F2" w:rsidRDefault="00DD78F2" w:rsidP="00DD78F2">
      <w:pPr>
        <w:spacing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Una marca de peligro aislado es una marca colocada o fondeada sobre un peligro a cuyo alrededor las aguas son navega</w:t>
      </w:r>
    </w:p>
    <w:p w:rsidR="00DD78F2" w:rsidRPr="00DD78F2" w:rsidRDefault="00DD78F2" w:rsidP="00DD78F2">
      <w:pPr>
        <w:spacing w:before="240" w:after="240" w:line="270" w:lineRule="atLeast"/>
        <w:outlineLvl w:val="4"/>
        <w:rPr>
          <w:rFonts w:ascii="Arial" w:eastAsia="Times New Roman" w:hAnsi="Arial" w:cs="Arial"/>
          <w:b/>
          <w:bCs/>
          <w:color w:val="333333"/>
          <w:sz w:val="20"/>
          <w:szCs w:val="20"/>
          <w:lang w:eastAsia="es-ES"/>
        </w:rPr>
      </w:pPr>
      <w:bookmarkStart w:id="18" w:name="ANEXO_4_2"/>
      <w:bookmarkEnd w:id="18"/>
      <w:r w:rsidRPr="00DD78F2">
        <w:rPr>
          <w:rFonts w:ascii="Arial" w:eastAsia="Times New Roman" w:hAnsi="Arial" w:cs="Arial"/>
          <w:b/>
          <w:bCs/>
          <w:color w:val="333333"/>
          <w:sz w:val="20"/>
          <w:szCs w:val="20"/>
          <w:lang w:eastAsia="es-ES"/>
        </w:rPr>
        <w:t>4.2 Descripción de las marcas de peligro aislado.</w:t>
      </w:r>
    </w:p>
    <w:p w:rsidR="00DD78F2" w:rsidRPr="00DD78F2" w:rsidRDefault="00DD78F2" w:rsidP="00DD78F2">
      <w:pPr>
        <w:spacing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Marca de tope</w:t>
      </w:r>
      <w:r w:rsidRPr="00DD78F2">
        <w:rPr>
          <w:rFonts w:ascii="Arial" w:eastAsia="Times New Roman" w:hAnsi="Arial" w:cs="Arial"/>
          <w:color w:val="333333"/>
          <w:sz w:val="18"/>
          <w:lang w:eastAsia="es-ES"/>
        </w:rPr>
        <w:t> </w:t>
      </w:r>
      <w:r w:rsidRPr="00DD78F2">
        <w:rPr>
          <w:rFonts w:ascii="Arial" w:eastAsia="Times New Roman" w:hAnsi="Arial" w:cs="Arial"/>
          <w:color w:val="333333"/>
          <w:sz w:val="18"/>
          <w:szCs w:val="18"/>
          <w:vertAlign w:val="superscript"/>
          <w:lang w:eastAsia="es-ES"/>
        </w:rPr>
        <w:t>(b)</w:t>
      </w:r>
      <w:r w:rsidRPr="00DD78F2">
        <w:rPr>
          <w:rFonts w:ascii="Arial" w:eastAsia="Times New Roman" w:hAnsi="Arial" w:cs="Arial"/>
          <w:color w:val="333333"/>
          <w:sz w:val="18"/>
          <w:szCs w:val="18"/>
          <w:lang w:eastAsia="es-ES"/>
        </w:rPr>
        <w:t>: Dos esferas negras superpuestas.</w:t>
      </w:r>
      <w:r w:rsidRPr="00DD78F2">
        <w:rPr>
          <w:rFonts w:ascii="Arial" w:eastAsia="Times New Roman" w:hAnsi="Arial" w:cs="Arial"/>
          <w:color w:val="333333"/>
          <w:sz w:val="18"/>
          <w:szCs w:val="18"/>
          <w:lang w:eastAsia="es-ES"/>
        </w:rPr>
        <w:br/>
        <w:t>Color: Negro con una o varias anchas bandas horizontales rojas.</w:t>
      </w:r>
      <w:r w:rsidRPr="00DD78F2">
        <w:rPr>
          <w:rFonts w:ascii="Arial" w:eastAsia="Times New Roman" w:hAnsi="Arial" w:cs="Arial"/>
          <w:color w:val="333333"/>
          <w:sz w:val="18"/>
          <w:szCs w:val="18"/>
          <w:lang w:eastAsia="es-ES"/>
        </w:rPr>
        <w:br/>
        <w:t>Forma: A elegir, pero sin que pueda prestarse a confusión con las marcas</w:t>
      </w:r>
      <w:r w:rsidRPr="00DD78F2">
        <w:rPr>
          <w:rFonts w:ascii="Arial" w:eastAsia="Times New Roman" w:hAnsi="Arial" w:cs="Arial"/>
          <w:color w:val="333333"/>
          <w:sz w:val="18"/>
          <w:lang w:eastAsia="es-ES"/>
        </w:rPr>
        <w:t> </w:t>
      </w:r>
      <w:r w:rsidRPr="00DD78F2">
        <w:rPr>
          <w:rFonts w:ascii="Arial" w:eastAsia="Times New Roman" w:hAnsi="Arial" w:cs="Arial"/>
          <w:color w:val="333333"/>
          <w:sz w:val="18"/>
          <w:szCs w:val="18"/>
          <w:lang w:eastAsia="es-ES"/>
        </w:rPr>
        <w:br/>
        <w:t>laterales; son preferibles las formas de castillete o de espeque.</w:t>
      </w:r>
      <w:r w:rsidRPr="00DD78F2">
        <w:rPr>
          <w:rFonts w:ascii="Arial" w:eastAsia="Times New Roman" w:hAnsi="Arial" w:cs="Arial"/>
          <w:color w:val="333333"/>
          <w:sz w:val="18"/>
          <w:szCs w:val="18"/>
          <w:lang w:eastAsia="es-ES"/>
        </w:rPr>
        <w:br/>
        <w:t>Luz (si tiene):</w:t>
      </w:r>
      <w:r w:rsidRPr="00DD78F2">
        <w:rPr>
          <w:rFonts w:ascii="Arial" w:eastAsia="Times New Roman" w:hAnsi="Arial" w:cs="Arial"/>
          <w:color w:val="333333"/>
          <w:sz w:val="18"/>
          <w:szCs w:val="18"/>
          <w:lang w:eastAsia="es-ES"/>
        </w:rPr>
        <w:br/>
        <w:t>Color: Blanco.</w:t>
      </w:r>
      <w:r w:rsidRPr="00DD78F2">
        <w:rPr>
          <w:rFonts w:ascii="Arial" w:eastAsia="Times New Roman" w:hAnsi="Arial" w:cs="Arial"/>
          <w:color w:val="333333"/>
          <w:sz w:val="18"/>
          <w:szCs w:val="18"/>
          <w:lang w:eastAsia="es-ES"/>
        </w:rPr>
        <w:br/>
        <w:t xml:space="preserve">Ritmo: Grupo de dos destellos </w:t>
      </w:r>
      <w:proofErr w:type="spellStart"/>
      <w:r w:rsidRPr="00DD78F2">
        <w:rPr>
          <w:rFonts w:ascii="Arial" w:eastAsia="Times New Roman" w:hAnsi="Arial" w:cs="Arial"/>
          <w:color w:val="333333"/>
          <w:sz w:val="18"/>
          <w:szCs w:val="18"/>
          <w:lang w:eastAsia="es-ES"/>
        </w:rPr>
        <w:t>GpD</w:t>
      </w:r>
      <w:proofErr w:type="spellEnd"/>
      <w:r w:rsidRPr="00DD78F2">
        <w:rPr>
          <w:rFonts w:ascii="Arial" w:eastAsia="Times New Roman" w:hAnsi="Arial" w:cs="Arial"/>
          <w:color w:val="333333"/>
          <w:sz w:val="18"/>
          <w:szCs w:val="18"/>
          <w:lang w:eastAsia="es-ES"/>
        </w:rPr>
        <w:t xml:space="preserve"> (2)</w:t>
      </w:r>
    </w:p>
    <w:p w:rsidR="00DD78F2" w:rsidRPr="00DD78F2" w:rsidRDefault="00DD78F2" w:rsidP="00DD78F2">
      <w:pPr>
        <w:spacing w:before="240" w:after="240" w:line="270" w:lineRule="atLeast"/>
        <w:jc w:val="center"/>
        <w:rPr>
          <w:rFonts w:ascii="Arial" w:eastAsia="Times New Roman" w:hAnsi="Arial" w:cs="Arial"/>
          <w:color w:val="333333"/>
          <w:sz w:val="18"/>
          <w:szCs w:val="18"/>
          <w:lang w:eastAsia="es-ES"/>
        </w:rPr>
      </w:pPr>
      <w:r>
        <w:rPr>
          <w:rFonts w:ascii="Arial" w:eastAsia="Times New Roman" w:hAnsi="Arial" w:cs="Arial"/>
          <w:noProof/>
          <w:color w:val="333333"/>
          <w:sz w:val="18"/>
          <w:szCs w:val="18"/>
          <w:lang w:eastAsia="es-ES"/>
        </w:rPr>
        <w:drawing>
          <wp:inline distT="0" distB="0" distL="0" distR="0">
            <wp:extent cx="1209675" cy="1352550"/>
            <wp:effectExtent l="19050" t="0" r="9525" b="0"/>
            <wp:docPr id="6" name="Imagen 6" descr="Figur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ura 6"/>
                    <pic:cNvPicPr>
                      <a:picLocks noChangeAspect="1" noChangeArrowheads="1"/>
                    </pic:cNvPicPr>
                  </pic:nvPicPr>
                  <pic:blipFill>
                    <a:blip r:embed="rId16"/>
                    <a:srcRect/>
                    <a:stretch>
                      <a:fillRect/>
                    </a:stretch>
                  </pic:blipFill>
                  <pic:spPr bwMode="auto">
                    <a:xfrm>
                      <a:off x="0" y="0"/>
                      <a:ext cx="1209675" cy="1352550"/>
                    </a:xfrm>
                    <a:prstGeom prst="rect">
                      <a:avLst/>
                    </a:prstGeom>
                    <a:noFill/>
                    <a:ln w="9525">
                      <a:noFill/>
                      <a:miter lim="800000"/>
                      <a:headEnd/>
                      <a:tailEnd/>
                    </a:ln>
                  </pic:spPr>
                </pic:pic>
              </a:graphicData>
            </a:graphic>
          </wp:inline>
        </w:drawing>
      </w:r>
    </w:p>
    <w:p w:rsidR="00DD78F2" w:rsidRPr="00DD78F2" w:rsidRDefault="00DD78F2" w:rsidP="00DD78F2">
      <w:pPr>
        <w:spacing w:before="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vertAlign w:val="superscript"/>
          <w:lang w:eastAsia="es-ES"/>
        </w:rPr>
        <w:t>(b)</w:t>
      </w:r>
      <w:r w:rsidRPr="00DD78F2">
        <w:rPr>
          <w:rFonts w:ascii="Arial" w:eastAsia="Times New Roman" w:hAnsi="Arial" w:cs="Arial"/>
          <w:color w:val="333333"/>
          <w:sz w:val="18"/>
          <w:lang w:eastAsia="es-ES"/>
        </w:rPr>
        <w:t> </w:t>
      </w:r>
      <w:r w:rsidRPr="00DD78F2">
        <w:rPr>
          <w:rFonts w:ascii="Arial" w:eastAsia="Times New Roman" w:hAnsi="Arial" w:cs="Arial"/>
          <w:color w:val="333333"/>
          <w:sz w:val="18"/>
          <w:szCs w:val="18"/>
          <w:lang w:eastAsia="es-ES"/>
        </w:rPr>
        <w:t>La marca de tope, formada por dos esferas superpuestas, es la característica diurna más importante de toda marca de peligro aislado, deberá utilizarse siempre que se pueda y será del mayor tamaño posible, con una clara separación entre las dos esferas.</w:t>
      </w:r>
    </w:p>
    <w:p w:rsidR="00DD78F2" w:rsidRPr="00DD78F2" w:rsidRDefault="00DD78F2" w:rsidP="00DD78F2">
      <w:pPr>
        <w:spacing w:before="240" w:after="240" w:line="270" w:lineRule="atLeast"/>
        <w:outlineLvl w:val="3"/>
        <w:rPr>
          <w:rFonts w:ascii="Segoe UI" w:eastAsia="Times New Roman" w:hAnsi="Segoe UI" w:cs="Segoe UI"/>
          <w:b/>
          <w:bCs/>
          <w:caps/>
          <w:color w:val="333333"/>
          <w:sz w:val="18"/>
          <w:szCs w:val="18"/>
          <w:lang w:eastAsia="es-ES"/>
        </w:rPr>
      </w:pPr>
      <w:bookmarkStart w:id="19" w:name="ANEXO_5"/>
      <w:bookmarkEnd w:id="19"/>
      <w:r w:rsidRPr="00DD78F2">
        <w:rPr>
          <w:rFonts w:ascii="Segoe UI" w:eastAsia="Times New Roman" w:hAnsi="Segoe UI" w:cs="Segoe UI"/>
          <w:b/>
          <w:bCs/>
          <w:caps/>
          <w:color w:val="333333"/>
          <w:sz w:val="18"/>
          <w:szCs w:val="18"/>
          <w:lang w:eastAsia="es-ES"/>
        </w:rPr>
        <w:lastRenderedPageBreak/>
        <w:t>5. MARCAS DE AGUAS NAVEGABLES</w:t>
      </w:r>
    </w:p>
    <w:p w:rsidR="00DD78F2" w:rsidRPr="00DD78F2" w:rsidRDefault="00DD78F2" w:rsidP="00DD78F2">
      <w:pPr>
        <w:spacing w:before="240" w:after="240" w:line="270" w:lineRule="atLeast"/>
        <w:outlineLvl w:val="4"/>
        <w:rPr>
          <w:rFonts w:ascii="Arial" w:eastAsia="Times New Roman" w:hAnsi="Arial" w:cs="Arial"/>
          <w:b/>
          <w:bCs/>
          <w:color w:val="333333"/>
          <w:sz w:val="20"/>
          <w:szCs w:val="20"/>
          <w:lang w:eastAsia="es-ES"/>
        </w:rPr>
      </w:pPr>
      <w:bookmarkStart w:id="20" w:name="ANEXO_5_1"/>
      <w:bookmarkEnd w:id="20"/>
      <w:r w:rsidRPr="00DD78F2">
        <w:rPr>
          <w:rFonts w:ascii="Arial" w:eastAsia="Times New Roman" w:hAnsi="Arial" w:cs="Arial"/>
          <w:b/>
          <w:bCs/>
          <w:color w:val="333333"/>
          <w:sz w:val="20"/>
          <w:szCs w:val="20"/>
          <w:lang w:eastAsia="es-ES"/>
        </w:rPr>
        <w:t>5.1 Definición de las marcas de aguas navegables.</w:t>
      </w:r>
    </w:p>
    <w:p w:rsidR="00DD78F2" w:rsidRPr="00DD78F2" w:rsidRDefault="00DD78F2" w:rsidP="00DD78F2">
      <w:pPr>
        <w:spacing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Las marcas de aguas navegables sirven para indicar que las aguas son navegables alrededor de la marca; incluyen las marcas que definen los ejes de los canales y las marcas de centro de canal. Estas marcas pueden utilizarse también para indicar un punto de recalada, cuando éste no esté indicado por una marca cardinal o lateral.</w:t>
      </w:r>
    </w:p>
    <w:p w:rsidR="00DD78F2" w:rsidRPr="00DD78F2" w:rsidRDefault="00DD78F2" w:rsidP="00DD78F2">
      <w:pPr>
        <w:spacing w:before="240" w:after="240" w:line="270" w:lineRule="atLeast"/>
        <w:outlineLvl w:val="4"/>
        <w:rPr>
          <w:rFonts w:ascii="Arial" w:eastAsia="Times New Roman" w:hAnsi="Arial" w:cs="Arial"/>
          <w:b/>
          <w:bCs/>
          <w:color w:val="333333"/>
          <w:sz w:val="20"/>
          <w:szCs w:val="20"/>
          <w:lang w:eastAsia="es-ES"/>
        </w:rPr>
      </w:pPr>
      <w:bookmarkStart w:id="21" w:name="ANEXO_5_2"/>
      <w:bookmarkEnd w:id="21"/>
      <w:r w:rsidRPr="00DD78F2">
        <w:rPr>
          <w:rFonts w:ascii="Arial" w:eastAsia="Times New Roman" w:hAnsi="Arial" w:cs="Arial"/>
          <w:b/>
          <w:bCs/>
          <w:color w:val="333333"/>
          <w:sz w:val="20"/>
          <w:szCs w:val="20"/>
          <w:lang w:eastAsia="es-ES"/>
        </w:rPr>
        <w:t>5.2 Descripción de las marcas de aguas navegables.</w:t>
      </w:r>
    </w:p>
    <w:p w:rsidR="00DD78F2" w:rsidRPr="00DD78F2" w:rsidRDefault="00DD78F2" w:rsidP="00DD78F2">
      <w:pPr>
        <w:spacing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Color: Franjas verticales rojas y blancas.</w:t>
      </w:r>
      <w:r w:rsidRPr="00DD78F2">
        <w:rPr>
          <w:rFonts w:ascii="Arial" w:eastAsia="Times New Roman" w:hAnsi="Arial" w:cs="Arial"/>
          <w:color w:val="333333"/>
          <w:sz w:val="18"/>
          <w:szCs w:val="18"/>
          <w:lang w:eastAsia="es-ES"/>
        </w:rPr>
        <w:br/>
        <w:t>Forma: Esférica; también de castillete o de espeque con una marca de tope</w:t>
      </w:r>
      <w:r w:rsidRPr="00DD78F2">
        <w:rPr>
          <w:rFonts w:ascii="Arial" w:eastAsia="Times New Roman" w:hAnsi="Arial" w:cs="Arial"/>
          <w:color w:val="333333"/>
          <w:sz w:val="18"/>
          <w:lang w:eastAsia="es-ES"/>
        </w:rPr>
        <w:t> </w:t>
      </w:r>
      <w:r w:rsidRPr="00DD78F2">
        <w:rPr>
          <w:rFonts w:ascii="Arial" w:eastAsia="Times New Roman" w:hAnsi="Arial" w:cs="Arial"/>
          <w:color w:val="333333"/>
          <w:sz w:val="18"/>
          <w:szCs w:val="18"/>
          <w:lang w:eastAsia="es-ES"/>
        </w:rPr>
        <w:br/>
        <w:t>esférica.</w:t>
      </w:r>
      <w:r w:rsidRPr="00DD78F2">
        <w:rPr>
          <w:rFonts w:ascii="Arial" w:eastAsia="Times New Roman" w:hAnsi="Arial" w:cs="Arial"/>
          <w:color w:val="333333"/>
          <w:sz w:val="18"/>
          <w:szCs w:val="18"/>
          <w:lang w:eastAsia="es-ES"/>
        </w:rPr>
        <w:br/>
        <w:t>Marca de tope (si tiene): Una esfera roja.</w:t>
      </w:r>
      <w:r w:rsidRPr="00DD78F2">
        <w:rPr>
          <w:rFonts w:ascii="Arial" w:eastAsia="Times New Roman" w:hAnsi="Arial" w:cs="Arial"/>
          <w:color w:val="333333"/>
          <w:sz w:val="18"/>
          <w:szCs w:val="18"/>
          <w:lang w:eastAsia="es-ES"/>
        </w:rPr>
        <w:br/>
        <w:t>Luz (si tiene):</w:t>
      </w:r>
      <w:r w:rsidRPr="00DD78F2">
        <w:rPr>
          <w:rFonts w:ascii="Arial" w:eastAsia="Times New Roman" w:hAnsi="Arial" w:cs="Arial"/>
          <w:color w:val="333333"/>
          <w:sz w:val="18"/>
          <w:szCs w:val="18"/>
          <w:lang w:eastAsia="es-ES"/>
        </w:rPr>
        <w:br/>
        <w:t>Color: Blanco.</w:t>
      </w:r>
      <w:r w:rsidRPr="00DD78F2">
        <w:rPr>
          <w:rFonts w:ascii="Arial" w:eastAsia="Times New Roman" w:hAnsi="Arial" w:cs="Arial"/>
          <w:color w:val="333333"/>
          <w:sz w:val="18"/>
          <w:szCs w:val="18"/>
          <w:lang w:eastAsia="es-ES"/>
        </w:rPr>
        <w:br/>
        <w:t xml:space="preserve">Ritmo: </w:t>
      </w:r>
      <w:proofErr w:type="spellStart"/>
      <w:r w:rsidRPr="00DD78F2">
        <w:rPr>
          <w:rFonts w:ascii="Arial" w:eastAsia="Times New Roman" w:hAnsi="Arial" w:cs="Arial"/>
          <w:color w:val="333333"/>
          <w:sz w:val="18"/>
          <w:szCs w:val="18"/>
          <w:lang w:eastAsia="es-ES"/>
        </w:rPr>
        <w:t>Isofase</w:t>
      </w:r>
      <w:proofErr w:type="spellEnd"/>
      <w:r w:rsidRPr="00DD78F2">
        <w:rPr>
          <w:rFonts w:ascii="Arial" w:eastAsia="Times New Roman" w:hAnsi="Arial" w:cs="Arial"/>
          <w:color w:val="333333"/>
          <w:sz w:val="18"/>
          <w:szCs w:val="18"/>
          <w:lang w:eastAsia="es-ES"/>
        </w:rPr>
        <w:t>, de ocultaciones, un destello largo cada diez segundos o la señal</w:t>
      </w:r>
      <w:r w:rsidRPr="00DD78F2">
        <w:rPr>
          <w:rFonts w:ascii="Arial" w:eastAsia="Times New Roman" w:hAnsi="Arial" w:cs="Arial"/>
          <w:color w:val="333333"/>
          <w:sz w:val="18"/>
          <w:lang w:eastAsia="es-ES"/>
        </w:rPr>
        <w:t> </w:t>
      </w:r>
      <w:r w:rsidRPr="00DD78F2">
        <w:rPr>
          <w:rFonts w:ascii="Arial" w:eastAsia="Times New Roman" w:hAnsi="Arial" w:cs="Arial"/>
          <w:color w:val="333333"/>
          <w:sz w:val="18"/>
          <w:szCs w:val="18"/>
          <w:lang w:eastAsia="es-ES"/>
        </w:rPr>
        <w:br/>
        <w:t>Morse «A».</w:t>
      </w:r>
    </w:p>
    <w:p w:rsidR="00DD78F2" w:rsidRPr="00DD78F2" w:rsidRDefault="00DD78F2" w:rsidP="00DD78F2">
      <w:pPr>
        <w:spacing w:before="240" w:line="270" w:lineRule="atLeast"/>
        <w:jc w:val="center"/>
        <w:rPr>
          <w:rFonts w:ascii="Arial" w:eastAsia="Times New Roman" w:hAnsi="Arial" w:cs="Arial"/>
          <w:color w:val="333333"/>
          <w:sz w:val="18"/>
          <w:szCs w:val="18"/>
          <w:lang w:eastAsia="es-ES"/>
        </w:rPr>
      </w:pPr>
      <w:r>
        <w:rPr>
          <w:rFonts w:ascii="Arial" w:eastAsia="Times New Roman" w:hAnsi="Arial" w:cs="Arial"/>
          <w:noProof/>
          <w:color w:val="333333"/>
          <w:sz w:val="18"/>
          <w:szCs w:val="18"/>
          <w:lang w:eastAsia="es-ES"/>
        </w:rPr>
        <w:drawing>
          <wp:inline distT="0" distB="0" distL="0" distR="0">
            <wp:extent cx="3829050" cy="1162050"/>
            <wp:effectExtent l="19050" t="0" r="0" b="0"/>
            <wp:docPr id="7" name="Imagen 7" descr="Figur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ura 7"/>
                    <pic:cNvPicPr>
                      <a:picLocks noChangeAspect="1" noChangeArrowheads="1"/>
                    </pic:cNvPicPr>
                  </pic:nvPicPr>
                  <pic:blipFill>
                    <a:blip r:embed="rId17"/>
                    <a:srcRect/>
                    <a:stretch>
                      <a:fillRect/>
                    </a:stretch>
                  </pic:blipFill>
                  <pic:spPr bwMode="auto">
                    <a:xfrm>
                      <a:off x="0" y="0"/>
                      <a:ext cx="3829050" cy="1162050"/>
                    </a:xfrm>
                    <a:prstGeom prst="rect">
                      <a:avLst/>
                    </a:prstGeom>
                    <a:noFill/>
                    <a:ln w="9525">
                      <a:noFill/>
                      <a:miter lim="800000"/>
                      <a:headEnd/>
                      <a:tailEnd/>
                    </a:ln>
                  </pic:spPr>
                </pic:pic>
              </a:graphicData>
            </a:graphic>
          </wp:inline>
        </w:drawing>
      </w:r>
    </w:p>
    <w:p w:rsidR="00DD78F2" w:rsidRPr="00DD78F2" w:rsidRDefault="00DD78F2" w:rsidP="00DD78F2">
      <w:pPr>
        <w:spacing w:before="240" w:after="240" w:line="270" w:lineRule="atLeast"/>
        <w:outlineLvl w:val="3"/>
        <w:rPr>
          <w:rFonts w:ascii="Segoe UI" w:eastAsia="Times New Roman" w:hAnsi="Segoe UI" w:cs="Segoe UI"/>
          <w:b/>
          <w:bCs/>
          <w:caps/>
          <w:color w:val="333333"/>
          <w:sz w:val="18"/>
          <w:szCs w:val="18"/>
          <w:lang w:eastAsia="es-ES"/>
        </w:rPr>
      </w:pPr>
      <w:bookmarkStart w:id="22" w:name="ANEXO_6"/>
      <w:bookmarkEnd w:id="22"/>
      <w:r w:rsidRPr="00DD78F2">
        <w:rPr>
          <w:rFonts w:ascii="Segoe UI" w:eastAsia="Times New Roman" w:hAnsi="Segoe UI" w:cs="Segoe UI"/>
          <w:b/>
          <w:bCs/>
          <w:caps/>
          <w:color w:val="333333"/>
          <w:sz w:val="18"/>
          <w:szCs w:val="18"/>
          <w:lang w:eastAsia="es-ES"/>
        </w:rPr>
        <w:t>6. MARCAS ESPECIALES</w:t>
      </w:r>
    </w:p>
    <w:p w:rsidR="00DD78F2" w:rsidRPr="00DD78F2" w:rsidRDefault="00DD78F2" w:rsidP="00DD78F2">
      <w:pPr>
        <w:spacing w:before="240" w:after="240" w:line="270" w:lineRule="atLeast"/>
        <w:outlineLvl w:val="4"/>
        <w:rPr>
          <w:rFonts w:ascii="Arial" w:eastAsia="Times New Roman" w:hAnsi="Arial" w:cs="Arial"/>
          <w:b/>
          <w:bCs/>
          <w:color w:val="333333"/>
          <w:sz w:val="20"/>
          <w:szCs w:val="20"/>
          <w:lang w:eastAsia="es-ES"/>
        </w:rPr>
      </w:pPr>
      <w:bookmarkStart w:id="23" w:name="ANEXO_6_1"/>
      <w:bookmarkEnd w:id="23"/>
      <w:r w:rsidRPr="00DD78F2">
        <w:rPr>
          <w:rFonts w:ascii="Arial" w:eastAsia="Times New Roman" w:hAnsi="Arial" w:cs="Arial"/>
          <w:b/>
          <w:bCs/>
          <w:color w:val="333333"/>
          <w:sz w:val="20"/>
          <w:szCs w:val="20"/>
          <w:lang w:eastAsia="es-ES"/>
        </w:rPr>
        <w:t>6.1 Definición de las marcas especiales.</w:t>
      </w:r>
    </w:p>
    <w:p w:rsidR="00DD78F2" w:rsidRPr="00DD78F2" w:rsidRDefault="00DD78F2" w:rsidP="00DD78F2">
      <w:pPr>
        <w:spacing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Estas mareas no tienen por objeto principal ayudar a la navegación, sino indicar zonas o configuraciones especiales mencionadas en los documentos náuticos apropiados, por ejemplo:</w:t>
      </w:r>
    </w:p>
    <w:p w:rsidR="00DD78F2" w:rsidRPr="00DD78F2" w:rsidRDefault="00DD78F2" w:rsidP="00DD78F2">
      <w:pPr>
        <w:spacing w:before="240"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6.1.1 Marcas de un «Sistema de Adquisición de Datos Oceanográficos (SADO)».</w:t>
      </w:r>
    </w:p>
    <w:p w:rsidR="00DD78F2" w:rsidRPr="00DD78F2" w:rsidRDefault="00DD78F2" w:rsidP="00DD78F2">
      <w:pPr>
        <w:spacing w:before="240"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6.1.2 Marcas de separación del tráfico donde el balizamiento convencional del canal pueda prestarse a confusión.</w:t>
      </w:r>
    </w:p>
    <w:p w:rsidR="00DD78F2" w:rsidRPr="00DD78F2" w:rsidRDefault="00DD78F2" w:rsidP="00DD78F2">
      <w:pPr>
        <w:spacing w:before="240"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6.1.3 Mareas indicadoras de vertederos.</w:t>
      </w:r>
    </w:p>
    <w:p w:rsidR="00DD78F2" w:rsidRPr="00DD78F2" w:rsidRDefault="00DD78F2" w:rsidP="00DD78F2">
      <w:pPr>
        <w:spacing w:before="240"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6.1.4 Marcas indicadoras de zonas de ejercicios militares</w:t>
      </w:r>
    </w:p>
    <w:p w:rsidR="00DD78F2" w:rsidRPr="00DD78F2" w:rsidRDefault="00DD78F2" w:rsidP="00DD78F2">
      <w:pPr>
        <w:spacing w:before="240"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6.1.5 Mareas para indicar la presencia de cables o conductos submarinos.</w:t>
      </w:r>
    </w:p>
    <w:p w:rsidR="00DD78F2" w:rsidRPr="00DD78F2" w:rsidRDefault="00DD78F2" w:rsidP="00DD78F2">
      <w:pPr>
        <w:spacing w:before="240"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6.1.6 Marcas para indicar las zonas reservadas al recreo.</w:t>
      </w:r>
    </w:p>
    <w:p w:rsidR="00DD78F2" w:rsidRPr="00DD78F2" w:rsidRDefault="00DD78F2" w:rsidP="00DD78F2">
      <w:pPr>
        <w:spacing w:before="240" w:line="270" w:lineRule="atLeast"/>
        <w:jc w:val="center"/>
        <w:rPr>
          <w:rFonts w:ascii="Arial" w:eastAsia="Times New Roman" w:hAnsi="Arial" w:cs="Arial"/>
          <w:color w:val="333333"/>
          <w:sz w:val="18"/>
          <w:szCs w:val="18"/>
          <w:lang w:eastAsia="es-ES"/>
        </w:rPr>
      </w:pPr>
      <w:r>
        <w:rPr>
          <w:rFonts w:ascii="Arial" w:eastAsia="Times New Roman" w:hAnsi="Arial" w:cs="Arial"/>
          <w:noProof/>
          <w:color w:val="333333"/>
          <w:sz w:val="18"/>
          <w:szCs w:val="18"/>
          <w:lang w:eastAsia="es-ES"/>
        </w:rPr>
        <w:lastRenderedPageBreak/>
        <w:drawing>
          <wp:inline distT="0" distB="0" distL="0" distR="0">
            <wp:extent cx="1447800" cy="1076325"/>
            <wp:effectExtent l="19050" t="0" r="0" b="0"/>
            <wp:docPr id="8" name="Imagen 8" descr="Figur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gura 8"/>
                    <pic:cNvPicPr>
                      <a:picLocks noChangeAspect="1" noChangeArrowheads="1"/>
                    </pic:cNvPicPr>
                  </pic:nvPicPr>
                  <pic:blipFill>
                    <a:blip r:embed="rId18"/>
                    <a:srcRect/>
                    <a:stretch>
                      <a:fillRect/>
                    </a:stretch>
                  </pic:blipFill>
                  <pic:spPr bwMode="auto">
                    <a:xfrm>
                      <a:off x="0" y="0"/>
                      <a:ext cx="1447800" cy="1076325"/>
                    </a:xfrm>
                    <a:prstGeom prst="rect">
                      <a:avLst/>
                    </a:prstGeom>
                    <a:noFill/>
                    <a:ln w="9525">
                      <a:noFill/>
                      <a:miter lim="800000"/>
                      <a:headEnd/>
                      <a:tailEnd/>
                    </a:ln>
                  </pic:spPr>
                </pic:pic>
              </a:graphicData>
            </a:graphic>
          </wp:inline>
        </w:drawing>
      </w:r>
    </w:p>
    <w:p w:rsidR="00DD78F2" w:rsidRPr="00DD78F2" w:rsidRDefault="00DD78F2" w:rsidP="00DD78F2">
      <w:pPr>
        <w:spacing w:before="240" w:after="240" w:line="270" w:lineRule="atLeast"/>
        <w:outlineLvl w:val="4"/>
        <w:rPr>
          <w:rFonts w:ascii="Arial" w:eastAsia="Times New Roman" w:hAnsi="Arial" w:cs="Arial"/>
          <w:b/>
          <w:bCs/>
          <w:color w:val="333333"/>
          <w:sz w:val="20"/>
          <w:szCs w:val="20"/>
          <w:lang w:eastAsia="es-ES"/>
        </w:rPr>
      </w:pPr>
      <w:bookmarkStart w:id="24" w:name="ANEXO_6_2"/>
      <w:bookmarkEnd w:id="24"/>
      <w:r w:rsidRPr="00DD78F2">
        <w:rPr>
          <w:rFonts w:ascii="Arial" w:eastAsia="Times New Roman" w:hAnsi="Arial" w:cs="Arial"/>
          <w:b/>
          <w:bCs/>
          <w:color w:val="333333"/>
          <w:sz w:val="20"/>
          <w:szCs w:val="20"/>
          <w:lang w:eastAsia="es-ES"/>
        </w:rPr>
        <w:t>6.2 Descripción de las marcas especiales.</w:t>
      </w:r>
    </w:p>
    <w:p w:rsidR="00DD78F2" w:rsidRPr="00DD78F2" w:rsidRDefault="00DD78F2" w:rsidP="00DD78F2">
      <w:pPr>
        <w:spacing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Color: Amarillo.</w:t>
      </w:r>
      <w:r w:rsidRPr="00DD78F2">
        <w:rPr>
          <w:rFonts w:ascii="Arial" w:eastAsia="Times New Roman" w:hAnsi="Arial" w:cs="Arial"/>
          <w:color w:val="333333"/>
          <w:sz w:val="18"/>
          <w:szCs w:val="18"/>
          <w:lang w:eastAsia="es-ES"/>
        </w:rPr>
        <w:br/>
        <w:t>Forma: De libre elección, pero que no se preste a confusión con las marcas para</w:t>
      </w:r>
      <w:r w:rsidRPr="00DD78F2">
        <w:rPr>
          <w:rFonts w:ascii="Arial" w:eastAsia="Times New Roman" w:hAnsi="Arial" w:cs="Arial"/>
          <w:color w:val="333333"/>
          <w:sz w:val="18"/>
          <w:lang w:eastAsia="es-ES"/>
        </w:rPr>
        <w:t> </w:t>
      </w:r>
      <w:r w:rsidRPr="00DD78F2">
        <w:rPr>
          <w:rFonts w:ascii="Arial" w:eastAsia="Times New Roman" w:hAnsi="Arial" w:cs="Arial"/>
          <w:color w:val="333333"/>
          <w:sz w:val="18"/>
          <w:szCs w:val="18"/>
          <w:lang w:eastAsia="es-ES"/>
        </w:rPr>
        <w:br/>
        <w:t>ayuda a la navegación.</w:t>
      </w:r>
      <w:r w:rsidRPr="00DD78F2">
        <w:rPr>
          <w:rFonts w:ascii="Arial" w:eastAsia="Times New Roman" w:hAnsi="Arial" w:cs="Arial"/>
          <w:color w:val="333333"/>
          <w:sz w:val="18"/>
          <w:szCs w:val="18"/>
          <w:lang w:eastAsia="es-ES"/>
        </w:rPr>
        <w:br/>
        <w:t>Marca de tope (si tiene): Un aspa amarilla.</w:t>
      </w:r>
      <w:r w:rsidRPr="00DD78F2">
        <w:rPr>
          <w:rFonts w:ascii="Arial" w:eastAsia="Times New Roman" w:hAnsi="Arial" w:cs="Arial"/>
          <w:color w:val="333333"/>
          <w:sz w:val="18"/>
          <w:szCs w:val="18"/>
          <w:lang w:eastAsia="es-ES"/>
        </w:rPr>
        <w:br/>
        <w:t>Luz (si tiene):</w:t>
      </w:r>
      <w:r w:rsidRPr="00DD78F2">
        <w:rPr>
          <w:rFonts w:ascii="Arial" w:eastAsia="Times New Roman" w:hAnsi="Arial" w:cs="Arial"/>
          <w:color w:val="333333"/>
          <w:sz w:val="18"/>
          <w:szCs w:val="18"/>
          <w:lang w:eastAsia="es-ES"/>
        </w:rPr>
        <w:br/>
        <w:t>Color: Amarillo.</w:t>
      </w:r>
      <w:r w:rsidRPr="00DD78F2">
        <w:rPr>
          <w:rFonts w:ascii="Arial" w:eastAsia="Times New Roman" w:hAnsi="Arial" w:cs="Arial"/>
          <w:color w:val="333333"/>
          <w:sz w:val="18"/>
          <w:szCs w:val="18"/>
          <w:lang w:eastAsia="es-ES"/>
        </w:rPr>
        <w:br/>
        <w:t>Ritmo: Cualquiera, excepto los mencionados en las</w:t>
      </w:r>
      <w:r w:rsidRPr="00DD78F2">
        <w:rPr>
          <w:rFonts w:ascii="Arial" w:eastAsia="Times New Roman" w:hAnsi="Arial" w:cs="Arial"/>
          <w:color w:val="333333"/>
          <w:sz w:val="18"/>
          <w:lang w:eastAsia="es-ES"/>
        </w:rPr>
        <w:t> </w:t>
      </w:r>
      <w:hyperlink r:id="rId19" w:anchor="ANEXO_3" w:history="1">
        <w:r w:rsidRPr="00DD78F2">
          <w:rPr>
            <w:rFonts w:ascii="Arial" w:eastAsia="Times New Roman" w:hAnsi="Arial" w:cs="Arial"/>
            <w:color w:val="006699"/>
            <w:sz w:val="18"/>
            <w:u w:val="single"/>
            <w:lang w:eastAsia="es-ES"/>
          </w:rPr>
          <w:t>secciones 3</w:t>
        </w:r>
      </w:hyperlink>
      <w:r w:rsidRPr="00DD78F2">
        <w:rPr>
          <w:rFonts w:ascii="Arial" w:eastAsia="Times New Roman" w:hAnsi="Arial" w:cs="Arial"/>
          <w:color w:val="333333"/>
          <w:sz w:val="18"/>
          <w:szCs w:val="18"/>
          <w:lang w:eastAsia="es-ES"/>
        </w:rPr>
        <w:t>,</w:t>
      </w:r>
      <w:r w:rsidRPr="00DD78F2">
        <w:rPr>
          <w:rFonts w:ascii="Arial" w:eastAsia="Times New Roman" w:hAnsi="Arial" w:cs="Arial"/>
          <w:color w:val="333333"/>
          <w:sz w:val="18"/>
          <w:lang w:eastAsia="es-ES"/>
        </w:rPr>
        <w:t> </w:t>
      </w:r>
      <w:hyperlink r:id="rId20" w:anchor="ANEXO_4" w:history="1">
        <w:r w:rsidRPr="00DD78F2">
          <w:rPr>
            <w:rFonts w:ascii="Arial" w:eastAsia="Times New Roman" w:hAnsi="Arial" w:cs="Arial"/>
            <w:color w:val="006699"/>
            <w:sz w:val="18"/>
            <w:u w:val="single"/>
            <w:lang w:eastAsia="es-ES"/>
          </w:rPr>
          <w:t>4</w:t>
        </w:r>
      </w:hyperlink>
      <w:r w:rsidRPr="00DD78F2">
        <w:rPr>
          <w:rFonts w:ascii="Arial" w:eastAsia="Times New Roman" w:hAnsi="Arial" w:cs="Arial"/>
          <w:color w:val="333333"/>
          <w:sz w:val="18"/>
          <w:lang w:eastAsia="es-ES"/>
        </w:rPr>
        <w:t> </w:t>
      </w:r>
      <w:r w:rsidRPr="00DD78F2">
        <w:rPr>
          <w:rFonts w:ascii="Arial" w:eastAsia="Times New Roman" w:hAnsi="Arial" w:cs="Arial"/>
          <w:color w:val="333333"/>
          <w:sz w:val="18"/>
          <w:szCs w:val="18"/>
          <w:lang w:eastAsia="es-ES"/>
        </w:rPr>
        <w:t>ó</w:t>
      </w:r>
      <w:r w:rsidRPr="00DD78F2">
        <w:rPr>
          <w:rFonts w:ascii="Arial" w:eastAsia="Times New Roman" w:hAnsi="Arial" w:cs="Arial"/>
          <w:color w:val="333333"/>
          <w:sz w:val="18"/>
          <w:lang w:eastAsia="es-ES"/>
        </w:rPr>
        <w:t> </w:t>
      </w:r>
      <w:hyperlink r:id="rId21" w:anchor="ANEXO_5" w:history="1">
        <w:r w:rsidRPr="00DD78F2">
          <w:rPr>
            <w:rFonts w:ascii="Arial" w:eastAsia="Times New Roman" w:hAnsi="Arial" w:cs="Arial"/>
            <w:color w:val="006699"/>
            <w:sz w:val="18"/>
            <w:u w:val="single"/>
            <w:lang w:eastAsia="es-ES"/>
          </w:rPr>
          <w:t>5</w:t>
        </w:r>
      </w:hyperlink>
      <w:r w:rsidRPr="00DD78F2">
        <w:rPr>
          <w:rFonts w:ascii="Arial" w:eastAsia="Times New Roman" w:hAnsi="Arial" w:cs="Arial"/>
          <w:color w:val="333333"/>
          <w:sz w:val="18"/>
          <w:szCs w:val="18"/>
          <w:lang w:eastAsia="es-ES"/>
        </w:rPr>
        <w:t>.</w:t>
      </w:r>
    </w:p>
    <w:p w:rsidR="00DD78F2" w:rsidRPr="00DD78F2" w:rsidRDefault="00DD78F2" w:rsidP="00DD78F2">
      <w:pPr>
        <w:spacing w:before="240" w:after="240" w:line="270" w:lineRule="atLeast"/>
        <w:outlineLvl w:val="4"/>
        <w:rPr>
          <w:rFonts w:ascii="Arial" w:eastAsia="Times New Roman" w:hAnsi="Arial" w:cs="Arial"/>
          <w:b/>
          <w:bCs/>
          <w:color w:val="333333"/>
          <w:sz w:val="20"/>
          <w:szCs w:val="20"/>
          <w:lang w:eastAsia="es-ES"/>
        </w:rPr>
      </w:pPr>
      <w:bookmarkStart w:id="25" w:name="ANEXO_6_3"/>
      <w:bookmarkEnd w:id="25"/>
      <w:r w:rsidRPr="00DD78F2">
        <w:rPr>
          <w:rFonts w:ascii="Arial" w:eastAsia="Times New Roman" w:hAnsi="Arial" w:cs="Arial"/>
          <w:b/>
          <w:bCs/>
          <w:color w:val="333333"/>
          <w:sz w:val="20"/>
          <w:szCs w:val="20"/>
          <w:lang w:eastAsia="es-ES"/>
        </w:rPr>
        <w:t>6.3 Otras marcas especiales.</w:t>
      </w:r>
    </w:p>
    <w:p w:rsidR="00DD78F2" w:rsidRPr="00DD78F2" w:rsidRDefault="00DD78F2" w:rsidP="00DD78F2">
      <w:pPr>
        <w:spacing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La Administración competente puede establecer marcas especiales, distintas a las enumeradas en el</w:t>
      </w:r>
      <w:r w:rsidRPr="00DD78F2">
        <w:rPr>
          <w:rFonts w:ascii="Arial" w:eastAsia="Times New Roman" w:hAnsi="Arial" w:cs="Arial"/>
          <w:color w:val="333333"/>
          <w:sz w:val="18"/>
          <w:lang w:eastAsia="es-ES"/>
        </w:rPr>
        <w:t> </w:t>
      </w:r>
      <w:hyperlink r:id="rId22" w:anchor="ANEXO_6_1" w:history="1">
        <w:r w:rsidRPr="00DD78F2">
          <w:rPr>
            <w:rFonts w:ascii="Arial" w:eastAsia="Times New Roman" w:hAnsi="Arial" w:cs="Arial"/>
            <w:color w:val="006699"/>
            <w:sz w:val="18"/>
            <w:u w:val="single"/>
            <w:lang w:eastAsia="es-ES"/>
          </w:rPr>
          <w:t>párrafo 6.1</w:t>
        </w:r>
      </w:hyperlink>
      <w:r w:rsidRPr="00DD78F2">
        <w:rPr>
          <w:rFonts w:ascii="Arial" w:eastAsia="Times New Roman" w:hAnsi="Arial" w:cs="Arial"/>
          <w:color w:val="333333"/>
          <w:sz w:val="18"/>
          <w:lang w:eastAsia="es-ES"/>
        </w:rPr>
        <w:t> </w:t>
      </w:r>
      <w:r w:rsidRPr="00DD78F2">
        <w:rPr>
          <w:rFonts w:ascii="Arial" w:eastAsia="Times New Roman" w:hAnsi="Arial" w:cs="Arial"/>
          <w:color w:val="333333"/>
          <w:sz w:val="18"/>
          <w:szCs w:val="18"/>
          <w:lang w:eastAsia="es-ES"/>
        </w:rPr>
        <w:t>y descritas en el</w:t>
      </w:r>
      <w:r w:rsidRPr="00DD78F2">
        <w:rPr>
          <w:rFonts w:ascii="Arial" w:eastAsia="Times New Roman" w:hAnsi="Arial" w:cs="Arial"/>
          <w:color w:val="333333"/>
          <w:sz w:val="18"/>
          <w:lang w:eastAsia="es-ES"/>
        </w:rPr>
        <w:t> </w:t>
      </w:r>
      <w:hyperlink r:id="rId23" w:anchor="ANEXO_6_2" w:history="1">
        <w:r w:rsidRPr="00DD78F2">
          <w:rPr>
            <w:rFonts w:ascii="Arial" w:eastAsia="Times New Roman" w:hAnsi="Arial" w:cs="Arial"/>
            <w:color w:val="006699"/>
            <w:sz w:val="18"/>
            <w:u w:val="single"/>
            <w:lang w:eastAsia="es-ES"/>
          </w:rPr>
          <w:t>párrafo 6.2</w:t>
        </w:r>
      </w:hyperlink>
      <w:r w:rsidRPr="00DD78F2">
        <w:rPr>
          <w:rFonts w:ascii="Arial" w:eastAsia="Times New Roman" w:hAnsi="Arial" w:cs="Arial"/>
          <w:color w:val="333333"/>
          <w:sz w:val="18"/>
          <w:szCs w:val="18"/>
          <w:lang w:eastAsia="es-ES"/>
        </w:rPr>
        <w:t>, para hacer frente a circunstancias especiales. Estas marcas no se prestarán e, confusión con las marcas destinadas a la navegación, habrán de figurar en las publicaciones náuticas adecuadas y ponerse en conocimiento de la Asociación Internacional de Señalización Marítima (AISM), tan pronto como se pueda.</w:t>
      </w:r>
    </w:p>
    <w:p w:rsidR="00DD78F2" w:rsidRPr="00DD78F2" w:rsidRDefault="00DD78F2" w:rsidP="00DD78F2">
      <w:pPr>
        <w:spacing w:before="240" w:after="240" w:line="270" w:lineRule="atLeast"/>
        <w:outlineLvl w:val="3"/>
        <w:rPr>
          <w:rFonts w:ascii="Segoe UI" w:eastAsia="Times New Roman" w:hAnsi="Segoe UI" w:cs="Segoe UI"/>
          <w:b/>
          <w:bCs/>
          <w:caps/>
          <w:color w:val="333333"/>
          <w:sz w:val="18"/>
          <w:szCs w:val="18"/>
          <w:lang w:eastAsia="es-ES"/>
        </w:rPr>
      </w:pPr>
      <w:bookmarkStart w:id="26" w:name="ANEXO_7"/>
      <w:bookmarkEnd w:id="26"/>
      <w:r w:rsidRPr="00DD78F2">
        <w:rPr>
          <w:rFonts w:ascii="Segoe UI" w:eastAsia="Times New Roman" w:hAnsi="Segoe UI" w:cs="Segoe UI"/>
          <w:b/>
          <w:bCs/>
          <w:caps/>
          <w:color w:val="333333"/>
          <w:sz w:val="18"/>
          <w:szCs w:val="18"/>
          <w:lang w:eastAsia="es-ES"/>
        </w:rPr>
        <w:t>7. PELIGROS NUEVOS</w:t>
      </w:r>
    </w:p>
    <w:p w:rsidR="00DD78F2" w:rsidRPr="00DD78F2" w:rsidRDefault="00DD78F2" w:rsidP="00DD78F2">
      <w:pPr>
        <w:spacing w:before="240" w:after="240" w:line="270" w:lineRule="atLeast"/>
        <w:outlineLvl w:val="4"/>
        <w:rPr>
          <w:rFonts w:ascii="Arial" w:eastAsia="Times New Roman" w:hAnsi="Arial" w:cs="Arial"/>
          <w:b/>
          <w:bCs/>
          <w:color w:val="333333"/>
          <w:sz w:val="20"/>
          <w:szCs w:val="20"/>
          <w:lang w:eastAsia="es-ES"/>
        </w:rPr>
      </w:pPr>
      <w:bookmarkStart w:id="27" w:name="ANEXO_7_1"/>
      <w:bookmarkEnd w:id="27"/>
      <w:r w:rsidRPr="00DD78F2">
        <w:rPr>
          <w:rFonts w:ascii="Arial" w:eastAsia="Times New Roman" w:hAnsi="Arial" w:cs="Arial"/>
          <w:b/>
          <w:bCs/>
          <w:color w:val="333333"/>
          <w:sz w:val="20"/>
          <w:szCs w:val="20"/>
          <w:lang w:eastAsia="es-ES"/>
        </w:rPr>
        <w:t>7.1 Definición de peligro nuevo.</w:t>
      </w:r>
    </w:p>
    <w:p w:rsidR="00DD78F2" w:rsidRPr="00DD78F2" w:rsidRDefault="00DD78F2" w:rsidP="00DD78F2">
      <w:pPr>
        <w:spacing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La expresión «peligro nuevo» se utiliza para designar peligros descubiertos recientemente que aún no figuran en las publicaciones náuticas. Los peligros nuevos comprenden los obstáculos naturales, como bancos de arena o escollos, y los peligros resultantes de la acción del hombre, como los naufragios.</w:t>
      </w:r>
    </w:p>
    <w:p w:rsidR="00DD78F2" w:rsidRPr="00DD78F2" w:rsidRDefault="00DD78F2" w:rsidP="00DD78F2">
      <w:pPr>
        <w:spacing w:before="240" w:after="240" w:line="270" w:lineRule="atLeast"/>
        <w:outlineLvl w:val="4"/>
        <w:rPr>
          <w:rFonts w:ascii="Arial" w:eastAsia="Times New Roman" w:hAnsi="Arial" w:cs="Arial"/>
          <w:b/>
          <w:bCs/>
          <w:color w:val="333333"/>
          <w:sz w:val="20"/>
          <w:szCs w:val="20"/>
          <w:lang w:eastAsia="es-ES"/>
        </w:rPr>
      </w:pPr>
      <w:bookmarkStart w:id="28" w:name="ANEXO_7_2"/>
      <w:bookmarkEnd w:id="28"/>
      <w:r w:rsidRPr="00DD78F2">
        <w:rPr>
          <w:rFonts w:ascii="Arial" w:eastAsia="Times New Roman" w:hAnsi="Arial" w:cs="Arial"/>
          <w:b/>
          <w:bCs/>
          <w:color w:val="333333"/>
          <w:sz w:val="20"/>
          <w:szCs w:val="20"/>
          <w:lang w:eastAsia="es-ES"/>
        </w:rPr>
        <w:t>7.2 Balizamiento de los peligros nuevos.</w:t>
      </w:r>
    </w:p>
    <w:p w:rsidR="00DD78F2" w:rsidRPr="00DD78F2" w:rsidRDefault="00DD78F2" w:rsidP="00DD78F2">
      <w:pPr>
        <w:spacing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7.2.1 Los peligros nuevos serán balizados de acuerdo con las presentes reglas.</w:t>
      </w:r>
    </w:p>
    <w:p w:rsidR="00DD78F2" w:rsidRPr="00DD78F2" w:rsidRDefault="00DD78F2" w:rsidP="00DD78F2">
      <w:pPr>
        <w:spacing w:before="240"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Si la autoridad responsable considera que el peligro es particularmente grave, al menos una de las marcas utilizadas se duplicará tan pronto como sea posible.</w:t>
      </w:r>
    </w:p>
    <w:p w:rsidR="00DD78F2" w:rsidRPr="00DD78F2" w:rsidRDefault="00DD78F2" w:rsidP="00DD78F2">
      <w:pPr>
        <w:spacing w:before="240"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7.2.2 Cualquier señal luminosa utilizada para este caso tendrá el ritmo centelleante o centelleante rápido, correspondiente a la marea lateral o cardinal apropiada.</w:t>
      </w:r>
    </w:p>
    <w:p w:rsidR="00DD78F2" w:rsidRPr="00DD78F2" w:rsidRDefault="00DD78F2" w:rsidP="00DD78F2">
      <w:pPr>
        <w:spacing w:before="240"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7.2.3 Toda marca duplicada será idéntica a su pareja en todos sus aspectos.</w:t>
      </w:r>
    </w:p>
    <w:p w:rsidR="00DD78F2" w:rsidRPr="00DD78F2" w:rsidRDefault="00DD78F2" w:rsidP="00DD78F2">
      <w:pPr>
        <w:spacing w:before="240"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7.2.4 Un peligro nuevo puede ser señalizado por una baliza RACON, codificada con la letra Morse «D», que dé en la pantalla del radar una señal correspondiente a una longitud de una milla náutica.</w:t>
      </w:r>
    </w:p>
    <w:p w:rsidR="00DD78F2" w:rsidRPr="00DD78F2" w:rsidRDefault="00DD78F2" w:rsidP="00DD78F2">
      <w:pPr>
        <w:spacing w:before="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t>7.2.5 La marca duplicada puede ser retirada cuando la autoridad competente considere que la información concerniente a este nuevo peligro ha sido suficientemente difundida</w:t>
      </w:r>
    </w:p>
    <w:p w:rsidR="00DD78F2" w:rsidRPr="00DD78F2" w:rsidRDefault="00DD78F2" w:rsidP="00DD78F2">
      <w:pPr>
        <w:spacing w:before="240" w:after="240" w:line="270" w:lineRule="atLeast"/>
        <w:outlineLvl w:val="3"/>
        <w:rPr>
          <w:rFonts w:ascii="Segoe UI" w:eastAsia="Times New Roman" w:hAnsi="Segoe UI" w:cs="Segoe UI"/>
          <w:b/>
          <w:bCs/>
          <w:caps/>
          <w:color w:val="333333"/>
          <w:sz w:val="18"/>
          <w:szCs w:val="18"/>
          <w:lang w:eastAsia="es-ES"/>
        </w:rPr>
      </w:pPr>
      <w:bookmarkStart w:id="29" w:name="ANEXO_8"/>
      <w:bookmarkEnd w:id="29"/>
      <w:r w:rsidRPr="00DD78F2">
        <w:rPr>
          <w:rFonts w:ascii="Segoe UI" w:eastAsia="Times New Roman" w:hAnsi="Segoe UI" w:cs="Segoe UI"/>
          <w:b/>
          <w:bCs/>
          <w:caps/>
          <w:color w:val="333333"/>
          <w:sz w:val="18"/>
          <w:szCs w:val="18"/>
          <w:lang w:eastAsia="es-ES"/>
        </w:rPr>
        <w:t>8. DEFINICION DE LAS REGIONES INTERNACIONALES DE BALIZAMIENTO</w:t>
      </w:r>
    </w:p>
    <w:p w:rsidR="00DD78F2" w:rsidRPr="00DD78F2" w:rsidRDefault="00DD78F2" w:rsidP="00DD78F2">
      <w:pPr>
        <w:spacing w:after="240" w:line="270" w:lineRule="atLeast"/>
        <w:rPr>
          <w:rFonts w:ascii="Arial" w:eastAsia="Times New Roman" w:hAnsi="Arial" w:cs="Arial"/>
          <w:color w:val="333333"/>
          <w:sz w:val="18"/>
          <w:szCs w:val="18"/>
          <w:lang w:eastAsia="es-ES"/>
        </w:rPr>
      </w:pPr>
      <w:r w:rsidRPr="00DD78F2">
        <w:rPr>
          <w:rFonts w:ascii="Arial" w:eastAsia="Times New Roman" w:hAnsi="Arial" w:cs="Arial"/>
          <w:color w:val="333333"/>
          <w:sz w:val="18"/>
          <w:szCs w:val="18"/>
          <w:lang w:eastAsia="es-ES"/>
        </w:rPr>
        <w:lastRenderedPageBreak/>
        <w:t>Existen dos regiones internacionales de balizamiento, A y B, en las que las marcas laterales son distintas, según se describe en la</w:t>
      </w:r>
      <w:r w:rsidRPr="00DD78F2">
        <w:rPr>
          <w:rFonts w:ascii="Arial" w:eastAsia="Times New Roman" w:hAnsi="Arial" w:cs="Arial"/>
          <w:color w:val="333333"/>
          <w:sz w:val="18"/>
          <w:lang w:eastAsia="es-ES"/>
        </w:rPr>
        <w:t> </w:t>
      </w:r>
      <w:hyperlink r:id="rId24" w:anchor="ANEXO_2" w:history="1">
        <w:r w:rsidRPr="00DD78F2">
          <w:rPr>
            <w:rFonts w:ascii="Arial" w:eastAsia="Times New Roman" w:hAnsi="Arial" w:cs="Arial"/>
            <w:color w:val="006699"/>
            <w:sz w:val="18"/>
            <w:u w:val="single"/>
            <w:lang w:eastAsia="es-ES"/>
          </w:rPr>
          <w:t>sección 2</w:t>
        </w:r>
      </w:hyperlink>
      <w:r w:rsidRPr="00DD78F2">
        <w:rPr>
          <w:rFonts w:ascii="Arial" w:eastAsia="Times New Roman" w:hAnsi="Arial" w:cs="Arial"/>
          <w:color w:val="333333"/>
          <w:sz w:val="18"/>
          <w:szCs w:val="18"/>
          <w:lang w:eastAsia="es-ES"/>
        </w:rPr>
        <w:t>. La división geográfica de estas dos regiones es la que muestra el gráfico adjunto.</w:t>
      </w:r>
    </w:p>
    <w:p w:rsidR="00DD78F2" w:rsidRPr="00DD78F2" w:rsidRDefault="00DD78F2" w:rsidP="00DD78F2">
      <w:pPr>
        <w:spacing w:before="240" w:line="270" w:lineRule="atLeast"/>
        <w:jc w:val="center"/>
        <w:rPr>
          <w:rFonts w:ascii="Arial" w:eastAsia="Times New Roman" w:hAnsi="Arial" w:cs="Arial"/>
          <w:color w:val="333333"/>
          <w:sz w:val="18"/>
          <w:szCs w:val="18"/>
          <w:lang w:eastAsia="es-ES"/>
        </w:rPr>
      </w:pPr>
      <w:r>
        <w:rPr>
          <w:rFonts w:ascii="Arial" w:eastAsia="Times New Roman" w:hAnsi="Arial" w:cs="Arial"/>
          <w:noProof/>
          <w:color w:val="333333"/>
          <w:sz w:val="18"/>
          <w:szCs w:val="18"/>
          <w:lang w:eastAsia="es-ES"/>
        </w:rPr>
        <w:drawing>
          <wp:inline distT="0" distB="0" distL="0" distR="0">
            <wp:extent cx="5524500" cy="3295650"/>
            <wp:effectExtent l="19050" t="0" r="0" b="0"/>
            <wp:docPr id="9" name="Imagen 9" descr="Figur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gura 9"/>
                    <pic:cNvPicPr>
                      <a:picLocks noChangeAspect="1" noChangeArrowheads="1"/>
                    </pic:cNvPicPr>
                  </pic:nvPicPr>
                  <pic:blipFill>
                    <a:blip r:embed="rId25"/>
                    <a:srcRect/>
                    <a:stretch>
                      <a:fillRect/>
                    </a:stretch>
                  </pic:blipFill>
                  <pic:spPr bwMode="auto">
                    <a:xfrm>
                      <a:off x="0" y="0"/>
                      <a:ext cx="5524500" cy="3295650"/>
                    </a:xfrm>
                    <a:prstGeom prst="rect">
                      <a:avLst/>
                    </a:prstGeom>
                    <a:noFill/>
                    <a:ln w="9525">
                      <a:noFill/>
                      <a:miter lim="800000"/>
                      <a:headEnd/>
                      <a:tailEnd/>
                    </a:ln>
                  </pic:spPr>
                </pic:pic>
              </a:graphicData>
            </a:graphic>
          </wp:inline>
        </w:drawing>
      </w:r>
    </w:p>
    <w:p w:rsidR="00F5695F" w:rsidRDefault="00F5695F"/>
    <w:p w:rsidR="00DD78F2" w:rsidRDefault="00DD78F2"/>
    <w:sectPr w:rsidR="00DD78F2" w:rsidSect="00F5695F">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Segoe UI">
    <w:panose1 w:val="020B0502040204020203"/>
    <w:charset w:val="00"/>
    <w:family w:val="swiss"/>
    <w:pitch w:val="variable"/>
    <w:sig w:usb0="E00022FF" w:usb1="C000205B" w:usb2="00000009" w:usb3="00000000" w:csb0="000001D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D78F2"/>
    <w:rsid w:val="00000EB1"/>
    <w:rsid w:val="00001757"/>
    <w:rsid w:val="00003C49"/>
    <w:rsid w:val="00003F10"/>
    <w:rsid w:val="000043A5"/>
    <w:rsid w:val="00004729"/>
    <w:rsid w:val="00004861"/>
    <w:rsid w:val="0000538F"/>
    <w:rsid w:val="000056FC"/>
    <w:rsid w:val="0000585A"/>
    <w:rsid w:val="0000778B"/>
    <w:rsid w:val="00010420"/>
    <w:rsid w:val="00010685"/>
    <w:rsid w:val="00010879"/>
    <w:rsid w:val="00010E59"/>
    <w:rsid w:val="00011E20"/>
    <w:rsid w:val="0001212C"/>
    <w:rsid w:val="000123D2"/>
    <w:rsid w:val="0001328F"/>
    <w:rsid w:val="0001371F"/>
    <w:rsid w:val="00014250"/>
    <w:rsid w:val="00014DB4"/>
    <w:rsid w:val="000153B4"/>
    <w:rsid w:val="000155B7"/>
    <w:rsid w:val="000157B3"/>
    <w:rsid w:val="00015DBF"/>
    <w:rsid w:val="00017256"/>
    <w:rsid w:val="0001753C"/>
    <w:rsid w:val="00017F55"/>
    <w:rsid w:val="0002133C"/>
    <w:rsid w:val="000213F4"/>
    <w:rsid w:val="0002209A"/>
    <w:rsid w:val="00022242"/>
    <w:rsid w:val="00022BE3"/>
    <w:rsid w:val="00022E80"/>
    <w:rsid w:val="0002449A"/>
    <w:rsid w:val="00024E90"/>
    <w:rsid w:val="000250F7"/>
    <w:rsid w:val="00025140"/>
    <w:rsid w:val="0002516A"/>
    <w:rsid w:val="00025F88"/>
    <w:rsid w:val="0002699C"/>
    <w:rsid w:val="0003000B"/>
    <w:rsid w:val="00030F90"/>
    <w:rsid w:val="00031680"/>
    <w:rsid w:val="000324F4"/>
    <w:rsid w:val="0003345E"/>
    <w:rsid w:val="0003350B"/>
    <w:rsid w:val="0003378F"/>
    <w:rsid w:val="00033AF7"/>
    <w:rsid w:val="00033FD3"/>
    <w:rsid w:val="00035DAA"/>
    <w:rsid w:val="00036E4C"/>
    <w:rsid w:val="00037164"/>
    <w:rsid w:val="0003766C"/>
    <w:rsid w:val="00037A10"/>
    <w:rsid w:val="000400BD"/>
    <w:rsid w:val="00040900"/>
    <w:rsid w:val="0004108F"/>
    <w:rsid w:val="0004258F"/>
    <w:rsid w:val="000439F6"/>
    <w:rsid w:val="0004494F"/>
    <w:rsid w:val="00044CA0"/>
    <w:rsid w:val="000458D7"/>
    <w:rsid w:val="00045930"/>
    <w:rsid w:val="00045C2F"/>
    <w:rsid w:val="00045E3C"/>
    <w:rsid w:val="00045EB2"/>
    <w:rsid w:val="000460B3"/>
    <w:rsid w:val="0004625E"/>
    <w:rsid w:val="00046913"/>
    <w:rsid w:val="000475E3"/>
    <w:rsid w:val="0004796B"/>
    <w:rsid w:val="00050076"/>
    <w:rsid w:val="00050904"/>
    <w:rsid w:val="000519DE"/>
    <w:rsid w:val="00051B3B"/>
    <w:rsid w:val="000521FA"/>
    <w:rsid w:val="00053883"/>
    <w:rsid w:val="00053EC2"/>
    <w:rsid w:val="0005550C"/>
    <w:rsid w:val="00056EEF"/>
    <w:rsid w:val="000572D3"/>
    <w:rsid w:val="00057486"/>
    <w:rsid w:val="0005769F"/>
    <w:rsid w:val="00057D47"/>
    <w:rsid w:val="000602A9"/>
    <w:rsid w:val="0006167D"/>
    <w:rsid w:val="00061B8E"/>
    <w:rsid w:val="00063112"/>
    <w:rsid w:val="00063A83"/>
    <w:rsid w:val="00064F35"/>
    <w:rsid w:val="0006598B"/>
    <w:rsid w:val="00066681"/>
    <w:rsid w:val="00066D1C"/>
    <w:rsid w:val="00066F7C"/>
    <w:rsid w:val="00067181"/>
    <w:rsid w:val="00067495"/>
    <w:rsid w:val="0006753E"/>
    <w:rsid w:val="00067B52"/>
    <w:rsid w:val="0007058E"/>
    <w:rsid w:val="00070CC5"/>
    <w:rsid w:val="00071D34"/>
    <w:rsid w:val="00071E80"/>
    <w:rsid w:val="000727EB"/>
    <w:rsid w:val="000739D1"/>
    <w:rsid w:val="00073D59"/>
    <w:rsid w:val="00073D90"/>
    <w:rsid w:val="000753E0"/>
    <w:rsid w:val="000755B4"/>
    <w:rsid w:val="0007567D"/>
    <w:rsid w:val="000756C1"/>
    <w:rsid w:val="00075F9A"/>
    <w:rsid w:val="00077016"/>
    <w:rsid w:val="00077890"/>
    <w:rsid w:val="000778B5"/>
    <w:rsid w:val="00077E34"/>
    <w:rsid w:val="0008040C"/>
    <w:rsid w:val="000813CD"/>
    <w:rsid w:val="000817D0"/>
    <w:rsid w:val="00081A83"/>
    <w:rsid w:val="00081C5F"/>
    <w:rsid w:val="00082B0B"/>
    <w:rsid w:val="00082CB3"/>
    <w:rsid w:val="00083038"/>
    <w:rsid w:val="00083FCC"/>
    <w:rsid w:val="0008438A"/>
    <w:rsid w:val="0008638C"/>
    <w:rsid w:val="00086E2B"/>
    <w:rsid w:val="00090808"/>
    <w:rsid w:val="000915A9"/>
    <w:rsid w:val="00091C94"/>
    <w:rsid w:val="00091FF7"/>
    <w:rsid w:val="00092330"/>
    <w:rsid w:val="00093552"/>
    <w:rsid w:val="000942EE"/>
    <w:rsid w:val="00094439"/>
    <w:rsid w:val="00095A60"/>
    <w:rsid w:val="000963DD"/>
    <w:rsid w:val="00096EA3"/>
    <w:rsid w:val="000A0CEF"/>
    <w:rsid w:val="000A1ACD"/>
    <w:rsid w:val="000A1BE3"/>
    <w:rsid w:val="000A23AF"/>
    <w:rsid w:val="000A24C1"/>
    <w:rsid w:val="000A26A8"/>
    <w:rsid w:val="000A2B1E"/>
    <w:rsid w:val="000A40AE"/>
    <w:rsid w:val="000A42C7"/>
    <w:rsid w:val="000A45D1"/>
    <w:rsid w:val="000A4816"/>
    <w:rsid w:val="000A50DA"/>
    <w:rsid w:val="000A54A6"/>
    <w:rsid w:val="000A5843"/>
    <w:rsid w:val="000A64F1"/>
    <w:rsid w:val="000A658D"/>
    <w:rsid w:val="000A74FD"/>
    <w:rsid w:val="000A7508"/>
    <w:rsid w:val="000A7C05"/>
    <w:rsid w:val="000B0441"/>
    <w:rsid w:val="000B1A7D"/>
    <w:rsid w:val="000B2310"/>
    <w:rsid w:val="000B3148"/>
    <w:rsid w:val="000B3614"/>
    <w:rsid w:val="000B39E7"/>
    <w:rsid w:val="000B51AA"/>
    <w:rsid w:val="000B6167"/>
    <w:rsid w:val="000B67D2"/>
    <w:rsid w:val="000B6C39"/>
    <w:rsid w:val="000B71EB"/>
    <w:rsid w:val="000B72B4"/>
    <w:rsid w:val="000B738D"/>
    <w:rsid w:val="000B7431"/>
    <w:rsid w:val="000B7A41"/>
    <w:rsid w:val="000C0925"/>
    <w:rsid w:val="000C0942"/>
    <w:rsid w:val="000C0D47"/>
    <w:rsid w:val="000C145A"/>
    <w:rsid w:val="000C1F5E"/>
    <w:rsid w:val="000C22B8"/>
    <w:rsid w:val="000C2CB7"/>
    <w:rsid w:val="000C2D9E"/>
    <w:rsid w:val="000C3D32"/>
    <w:rsid w:val="000C3E77"/>
    <w:rsid w:val="000C4E28"/>
    <w:rsid w:val="000C55AB"/>
    <w:rsid w:val="000C5684"/>
    <w:rsid w:val="000C5960"/>
    <w:rsid w:val="000C70F3"/>
    <w:rsid w:val="000C7AFB"/>
    <w:rsid w:val="000D0392"/>
    <w:rsid w:val="000D0A6D"/>
    <w:rsid w:val="000D12D9"/>
    <w:rsid w:val="000D145E"/>
    <w:rsid w:val="000D18A8"/>
    <w:rsid w:val="000D1EF8"/>
    <w:rsid w:val="000D23E0"/>
    <w:rsid w:val="000D32F8"/>
    <w:rsid w:val="000D5394"/>
    <w:rsid w:val="000D6814"/>
    <w:rsid w:val="000D7B75"/>
    <w:rsid w:val="000D7EC9"/>
    <w:rsid w:val="000E00E7"/>
    <w:rsid w:val="000E1A4C"/>
    <w:rsid w:val="000E2B1D"/>
    <w:rsid w:val="000E2CE9"/>
    <w:rsid w:val="000E2E86"/>
    <w:rsid w:val="000E3FA4"/>
    <w:rsid w:val="000E5149"/>
    <w:rsid w:val="000E5283"/>
    <w:rsid w:val="000E69C9"/>
    <w:rsid w:val="000F0075"/>
    <w:rsid w:val="000F09B4"/>
    <w:rsid w:val="000F0BA6"/>
    <w:rsid w:val="000F1079"/>
    <w:rsid w:val="000F2452"/>
    <w:rsid w:val="000F33BA"/>
    <w:rsid w:val="000F4175"/>
    <w:rsid w:val="000F4190"/>
    <w:rsid w:val="000F44CD"/>
    <w:rsid w:val="000F5697"/>
    <w:rsid w:val="000F751B"/>
    <w:rsid w:val="000F7967"/>
    <w:rsid w:val="00100999"/>
    <w:rsid w:val="00100A77"/>
    <w:rsid w:val="0010147E"/>
    <w:rsid w:val="00101A8C"/>
    <w:rsid w:val="0010231A"/>
    <w:rsid w:val="00102592"/>
    <w:rsid w:val="001029E3"/>
    <w:rsid w:val="00104979"/>
    <w:rsid w:val="001056C7"/>
    <w:rsid w:val="001058C6"/>
    <w:rsid w:val="00105EBE"/>
    <w:rsid w:val="00106BEB"/>
    <w:rsid w:val="0010726D"/>
    <w:rsid w:val="001076C3"/>
    <w:rsid w:val="00110232"/>
    <w:rsid w:val="0011071F"/>
    <w:rsid w:val="0011199D"/>
    <w:rsid w:val="00111BCA"/>
    <w:rsid w:val="00112558"/>
    <w:rsid w:val="00112E85"/>
    <w:rsid w:val="00113108"/>
    <w:rsid w:val="00113529"/>
    <w:rsid w:val="0011375E"/>
    <w:rsid w:val="00114306"/>
    <w:rsid w:val="00114D6B"/>
    <w:rsid w:val="00114F2C"/>
    <w:rsid w:val="00115846"/>
    <w:rsid w:val="00116352"/>
    <w:rsid w:val="001170DC"/>
    <w:rsid w:val="00120227"/>
    <w:rsid w:val="0012303A"/>
    <w:rsid w:val="001231C4"/>
    <w:rsid w:val="0012328C"/>
    <w:rsid w:val="00127FF2"/>
    <w:rsid w:val="001312F6"/>
    <w:rsid w:val="0013251F"/>
    <w:rsid w:val="00132757"/>
    <w:rsid w:val="00134BC4"/>
    <w:rsid w:val="00135212"/>
    <w:rsid w:val="00135DAE"/>
    <w:rsid w:val="00136C2C"/>
    <w:rsid w:val="001373A6"/>
    <w:rsid w:val="00137DD3"/>
    <w:rsid w:val="00141200"/>
    <w:rsid w:val="00142CEE"/>
    <w:rsid w:val="001430A8"/>
    <w:rsid w:val="001440C0"/>
    <w:rsid w:val="00144A93"/>
    <w:rsid w:val="00144EE1"/>
    <w:rsid w:val="001451B1"/>
    <w:rsid w:val="00145B61"/>
    <w:rsid w:val="00145CCE"/>
    <w:rsid w:val="00146A7E"/>
    <w:rsid w:val="0014777B"/>
    <w:rsid w:val="00150B79"/>
    <w:rsid w:val="00151306"/>
    <w:rsid w:val="001523B5"/>
    <w:rsid w:val="00152798"/>
    <w:rsid w:val="00152E35"/>
    <w:rsid w:val="00154309"/>
    <w:rsid w:val="00154E58"/>
    <w:rsid w:val="00155A71"/>
    <w:rsid w:val="00156E99"/>
    <w:rsid w:val="00157A44"/>
    <w:rsid w:val="00157C95"/>
    <w:rsid w:val="00161195"/>
    <w:rsid w:val="001616AE"/>
    <w:rsid w:val="00161D3B"/>
    <w:rsid w:val="00161EBD"/>
    <w:rsid w:val="0016247A"/>
    <w:rsid w:val="00162673"/>
    <w:rsid w:val="00163485"/>
    <w:rsid w:val="00163BE9"/>
    <w:rsid w:val="001645B9"/>
    <w:rsid w:val="001646A5"/>
    <w:rsid w:val="00164826"/>
    <w:rsid w:val="001657CD"/>
    <w:rsid w:val="0016688B"/>
    <w:rsid w:val="00167F30"/>
    <w:rsid w:val="00170B04"/>
    <w:rsid w:val="001710BA"/>
    <w:rsid w:val="00171A51"/>
    <w:rsid w:val="00171D7E"/>
    <w:rsid w:val="0017269D"/>
    <w:rsid w:val="00172957"/>
    <w:rsid w:val="00172CAF"/>
    <w:rsid w:val="0017350A"/>
    <w:rsid w:val="00173B81"/>
    <w:rsid w:val="00174138"/>
    <w:rsid w:val="00174DE3"/>
    <w:rsid w:val="00174E38"/>
    <w:rsid w:val="001757E1"/>
    <w:rsid w:val="001761F1"/>
    <w:rsid w:val="00176846"/>
    <w:rsid w:val="001769D5"/>
    <w:rsid w:val="001774DA"/>
    <w:rsid w:val="001776FD"/>
    <w:rsid w:val="00180444"/>
    <w:rsid w:val="00180D9F"/>
    <w:rsid w:val="00181589"/>
    <w:rsid w:val="00181A48"/>
    <w:rsid w:val="00183434"/>
    <w:rsid w:val="001848E8"/>
    <w:rsid w:val="0018530B"/>
    <w:rsid w:val="00185B1A"/>
    <w:rsid w:val="00186DBC"/>
    <w:rsid w:val="0018702D"/>
    <w:rsid w:val="0019069A"/>
    <w:rsid w:val="00190D8E"/>
    <w:rsid w:val="00190E5E"/>
    <w:rsid w:val="00191D7D"/>
    <w:rsid w:val="00192051"/>
    <w:rsid w:val="001935C0"/>
    <w:rsid w:val="001963BB"/>
    <w:rsid w:val="00196ABA"/>
    <w:rsid w:val="00197085"/>
    <w:rsid w:val="00197BE0"/>
    <w:rsid w:val="001A0C30"/>
    <w:rsid w:val="001A1DDB"/>
    <w:rsid w:val="001A2D15"/>
    <w:rsid w:val="001A36E9"/>
    <w:rsid w:val="001A3A3F"/>
    <w:rsid w:val="001A4074"/>
    <w:rsid w:val="001A42C6"/>
    <w:rsid w:val="001A4AD8"/>
    <w:rsid w:val="001A4E65"/>
    <w:rsid w:val="001A512D"/>
    <w:rsid w:val="001A60F2"/>
    <w:rsid w:val="001A6B67"/>
    <w:rsid w:val="001B00B7"/>
    <w:rsid w:val="001B01C4"/>
    <w:rsid w:val="001B0A81"/>
    <w:rsid w:val="001B1A3C"/>
    <w:rsid w:val="001B2E3E"/>
    <w:rsid w:val="001B3905"/>
    <w:rsid w:val="001B3EBA"/>
    <w:rsid w:val="001B44DC"/>
    <w:rsid w:val="001B54C1"/>
    <w:rsid w:val="001B67D6"/>
    <w:rsid w:val="001B76F8"/>
    <w:rsid w:val="001B791F"/>
    <w:rsid w:val="001C0963"/>
    <w:rsid w:val="001C0CCC"/>
    <w:rsid w:val="001C0D46"/>
    <w:rsid w:val="001C13E7"/>
    <w:rsid w:val="001C14D0"/>
    <w:rsid w:val="001C2198"/>
    <w:rsid w:val="001C2760"/>
    <w:rsid w:val="001C295B"/>
    <w:rsid w:val="001C4255"/>
    <w:rsid w:val="001C49B9"/>
    <w:rsid w:val="001C4BE3"/>
    <w:rsid w:val="001C4C32"/>
    <w:rsid w:val="001C5329"/>
    <w:rsid w:val="001C6C03"/>
    <w:rsid w:val="001C7A82"/>
    <w:rsid w:val="001D017A"/>
    <w:rsid w:val="001D05BD"/>
    <w:rsid w:val="001D1410"/>
    <w:rsid w:val="001D15B4"/>
    <w:rsid w:val="001D2CD5"/>
    <w:rsid w:val="001D5447"/>
    <w:rsid w:val="001D6782"/>
    <w:rsid w:val="001D723F"/>
    <w:rsid w:val="001D77C8"/>
    <w:rsid w:val="001D7CCF"/>
    <w:rsid w:val="001E0358"/>
    <w:rsid w:val="001E0638"/>
    <w:rsid w:val="001E14E7"/>
    <w:rsid w:val="001E18D8"/>
    <w:rsid w:val="001E24F0"/>
    <w:rsid w:val="001E260D"/>
    <w:rsid w:val="001E3617"/>
    <w:rsid w:val="001E4599"/>
    <w:rsid w:val="001E5BCD"/>
    <w:rsid w:val="001E6179"/>
    <w:rsid w:val="001E6E35"/>
    <w:rsid w:val="001F0883"/>
    <w:rsid w:val="001F0DAB"/>
    <w:rsid w:val="001F0F83"/>
    <w:rsid w:val="001F1C35"/>
    <w:rsid w:val="001F22A9"/>
    <w:rsid w:val="001F26EA"/>
    <w:rsid w:val="001F2C33"/>
    <w:rsid w:val="001F3569"/>
    <w:rsid w:val="001F3A79"/>
    <w:rsid w:val="001F4372"/>
    <w:rsid w:val="001F4614"/>
    <w:rsid w:val="001F462C"/>
    <w:rsid w:val="001F4A6B"/>
    <w:rsid w:val="001F4B4C"/>
    <w:rsid w:val="001F51CD"/>
    <w:rsid w:val="001F545D"/>
    <w:rsid w:val="001F567B"/>
    <w:rsid w:val="001F5BBE"/>
    <w:rsid w:val="001F63B1"/>
    <w:rsid w:val="001F7064"/>
    <w:rsid w:val="001F7600"/>
    <w:rsid w:val="0020083E"/>
    <w:rsid w:val="0020106A"/>
    <w:rsid w:val="00201461"/>
    <w:rsid w:val="00201F4A"/>
    <w:rsid w:val="00202BC5"/>
    <w:rsid w:val="00202D73"/>
    <w:rsid w:val="002039B2"/>
    <w:rsid w:val="00203FA7"/>
    <w:rsid w:val="00204653"/>
    <w:rsid w:val="002047FD"/>
    <w:rsid w:val="0020542A"/>
    <w:rsid w:val="002055B8"/>
    <w:rsid w:val="00206627"/>
    <w:rsid w:val="00207E80"/>
    <w:rsid w:val="002104FA"/>
    <w:rsid w:val="0021056A"/>
    <w:rsid w:val="002107D6"/>
    <w:rsid w:val="00212B3C"/>
    <w:rsid w:val="0021383C"/>
    <w:rsid w:val="00213CA9"/>
    <w:rsid w:val="002153BD"/>
    <w:rsid w:val="00215BF6"/>
    <w:rsid w:val="00216800"/>
    <w:rsid w:val="002171F5"/>
    <w:rsid w:val="00217289"/>
    <w:rsid w:val="00220AEF"/>
    <w:rsid w:val="002216C3"/>
    <w:rsid w:val="00221949"/>
    <w:rsid w:val="0022375F"/>
    <w:rsid w:val="00224112"/>
    <w:rsid w:val="00224CB6"/>
    <w:rsid w:val="00226360"/>
    <w:rsid w:val="00226BDC"/>
    <w:rsid w:val="00227B29"/>
    <w:rsid w:val="00227EFF"/>
    <w:rsid w:val="002300C9"/>
    <w:rsid w:val="002302B7"/>
    <w:rsid w:val="00230FD5"/>
    <w:rsid w:val="00232A23"/>
    <w:rsid w:val="00232BA3"/>
    <w:rsid w:val="00232C53"/>
    <w:rsid w:val="002333FC"/>
    <w:rsid w:val="00234031"/>
    <w:rsid w:val="002344B3"/>
    <w:rsid w:val="00234A34"/>
    <w:rsid w:val="00235744"/>
    <w:rsid w:val="002358F5"/>
    <w:rsid w:val="00235A55"/>
    <w:rsid w:val="00236509"/>
    <w:rsid w:val="002365CD"/>
    <w:rsid w:val="0023732C"/>
    <w:rsid w:val="00237786"/>
    <w:rsid w:val="00237871"/>
    <w:rsid w:val="00240261"/>
    <w:rsid w:val="0024190F"/>
    <w:rsid w:val="002426CC"/>
    <w:rsid w:val="00242E98"/>
    <w:rsid w:val="002434A8"/>
    <w:rsid w:val="00244138"/>
    <w:rsid w:val="00245766"/>
    <w:rsid w:val="00250431"/>
    <w:rsid w:val="00250598"/>
    <w:rsid w:val="00250E17"/>
    <w:rsid w:val="00250FFE"/>
    <w:rsid w:val="002510F1"/>
    <w:rsid w:val="002516D5"/>
    <w:rsid w:val="002516EA"/>
    <w:rsid w:val="00252E17"/>
    <w:rsid w:val="00253D7C"/>
    <w:rsid w:val="002542E2"/>
    <w:rsid w:val="0025607F"/>
    <w:rsid w:val="002560F9"/>
    <w:rsid w:val="0025641F"/>
    <w:rsid w:val="00256C68"/>
    <w:rsid w:val="00256ED7"/>
    <w:rsid w:val="00257576"/>
    <w:rsid w:val="00257C0F"/>
    <w:rsid w:val="002608B6"/>
    <w:rsid w:val="00260C39"/>
    <w:rsid w:val="00260FC8"/>
    <w:rsid w:val="0026112F"/>
    <w:rsid w:val="00261184"/>
    <w:rsid w:val="002611DB"/>
    <w:rsid w:val="00261336"/>
    <w:rsid w:val="00262F22"/>
    <w:rsid w:val="0026329C"/>
    <w:rsid w:val="00263924"/>
    <w:rsid w:val="00263D1B"/>
    <w:rsid w:val="00263D47"/>
    <w:rsid w:val="002645AB"/>
    <w:rsid w:val="00264F5F"/>
    <w:rsid w:val="002654B2"/>
    <w:rsid w:val="002662CC"/>
    <w:rsid w:val="00266D28"/>
    <w:rsid w:val="00267177"/>
    <w:rsid w:val="0026771E"/>
    <w:rsid w:val="002679ED"/>
    <w:rsid w:val="00267D54"/>
    <w:rsid w:val="00267D5E"/>
    <w:rsid w:val="00270DF3"/>
    <w:rsid w:val="002718C3"/>
    <w:rsid w:val="00271EB6"/>
    <w:rsid w:val="002727D2"/>
    <w:rsid w:val="0027313E"/>
    <w:rsid w:val="00273CFB"/>
    <w:rsid w:val="00275392"/>
    <w:rsid w:val="00275500"/>
    <w:rsid w:val="00276F58"/>
    <w:rsid w:val="00277C71"/>
    <w:rsid w:val="00281370"/>
    <w:rsid w:val="00281591"/>
    <w:rsid w:val="00281CA0"/>
    <w:rsid w:val="00281CAC"/>
    <w:rsid w:val="00282165"/>
    <w:rsid w:val="0028254D"/>
    <w:rsid w:val="00284BFD"/>
    <w:rsid w:val="002864D7"/>
    <w:rsid w:val="00286AE8"/>
    <w:rsid w:val="00290AA7"/>
    <w:rsid w:val="00291168"/>
    <w:rsid w:val="002912DF"/>
    <w:rsid w:val="00291436"/>
    <w:rsid w:val="002919B6"/>
    <w:rsid w:val="00293348"/>
    <w:rsid w:val="0029379A"/>
    <w:rsid w:val="00293CDD"/>
    <w:rsid w:val="00293EDF"/>
    <w:rsid w:val="0029559C"/>
    <w:rsid w:val="00295BD2"/>
    <w:rsid w:val="00295E3A"/>
    <w:rsid w:val="00296F6B"/>
    <w:rsid w:val="00297BDA"/>
    <w:rsid w:val="002A00DE"/>
    <w:rsid w:val="002A0EE0"/>
    <w:rsid w:val="002A0FC7"/>
    <w:rsid w:val="002A106B"/>
    <w:rsid w:val="002A14BA"/>
    <w:rsid w:val="002A16AE"/>
    <w:rsid w:val="002A21C2"/>
    <w:rsid w:val="002A3293"/>
    <w:rsid w:val="002A39D2"/>
    <w:rsid w:val="002A429A"/>
    <w:rsid w:val="002A6691"/>
    <w:rsid w:val="002A6B43"/>
    <w:rsid w:val="002A79F2"/>
    <w:rsid w:val="002A7C97"/>
    <w:rsid w:val="002B0453"/>
    <w:rsid w:val="002B1638"/>
    <w:rsid w:val="002B1EEF"/>
    <w:rsid w:val="002B26D3"/>
    <w:rsid w:val="002B292E"/>
    <w:rsid w:val="002B293B"/>
    <w:rsid w:val="002B323F"/>
    <w:rsid w:val="002B4049"/>
    <w:rsid w:val="002B404C"/>
    <w:rsid w:val="002B420E"/>
    <w:rsid w:val="002B4435"/>
    <w:rsid w:val="002B516F"/>
    <w:rsid w:val="002B5915"/>
    <w:rsid w:val="002B5F21"/>
    <w:rsid w:val="002C03B0"/>
    <w:rsid w:val="002C0C76"/>
    <w:rsid w:val="002C14F1"/>
    <w:rsid w:val="002C2334"/>
    <w:rsid w:val="002C3CF8"/>
    <w:rsid w:val="002C459E"/>
    <w:rsid w:val="002C6FB0"/>
    <w:rsid w:val="002C7746"/>
    <w:rsid w:val="002C7768"/>
    <w:rsid w:val="002D0C25"/>
    <w:rsid w:val="002D1327"/>
    <w:rsid w:val="002D1699"/>
    <w:rsid w:val="002D183B"/>
    <w:rsid w:val="002D197C"/>
    <w:rsid w:val="002D23B3"/>
    <w:rsid w:val="002D31E0"/>
    <w:rsid w:val="002D3866"/>
    <w:rsid w:val="002D4426"/>
    <w:rsid w:val="002D545E"/>
    <w:rsid w:val="002D5BD3"/>
    <w:rsid w:val="002D5C74"/>
    <w:rsid w:val="002D6BB5"/>
    <w:rsid w:val="002D7166"/>
    <w:rsid w:val="002D7455"/>
    <w:rsid w:val="002D7799"/>
    <w:rsid w:val="002E10A3"/>
    <w:rsid w:val="002E237C"/>
    <w:rsid w:val="002E3284"/>
    <w:rsid w:val="002E34FB"/>
    <w:rsid w:val="002E4444"/>
    <w:rsid w:val="002E46FB"/>
    <w:rsid w:val="002E7A34"/>
    <w:rsid w:val="002F0204"/>
    <w:rsid w:val="002F0628"/>
    <w:rsid w:val="002F22F0"/>
    <w:rsid w:val="002F33A8"/>
    <w:rsid w:val="002F71A2"/>
    <w:rsid w:val="00300826"/>
    <w:rsid w:val="00301892"/>
    <w:rsid w:val="00301FFE"/>
    <w:rsid w:val="00302B32"/>
    <w:rsid w:val="0030324F"/>
    <w:rsid w:val="003041E0"/>
    <w:rsid w:val="00304A30"/>
    <w:rsid w:val="00306129"/>
    <w:rsid w:val="003063A0"/>
    <w:rsid w:val="003120CC"/>
    <w:rsid w:val="003121FD"/>
    <w:rsid w:val="00312399"/>
    <w:rsid w:val="00312824"/>
    <w:rsid w:val="0031427E"/>
    <w:rsid w:val="00315FC7"/>
    <w:rsid w:val="003167C4"/>
    <w:rsid w:val="00316AD5"/>
    <w:rsid w:val="00317208"/>
    <w:rsid w:val="003174CB"/>
    <w:rsid w:val="00317DFD"/>
    <w:rsid w:val="003204AC"/>
    <w:rsid w:val="00321286"/>
    <w:rsid w:val="00322414"/>
    <w:rsid w:val="0032268A"/>
    <w:rsid w:val="003229F2"/>
    <w:rsid w:val="00324627"/>
    <w:rsid w:val="003246E5"/>
    <w:rsid w:val="00324932"/>
    <w:rsid w:val="00325039"/>
    <w:rsid w:val="003251DF"/>
    <w:rsid w:val="003255C9"/>
    <w:rsid w:val="00325A1D"/>
    <w:rsid w:val="00325C1E"/>
    <w:rsid w:val="00327E2B"/>
    <w:rsid w:val="003324A4"/>
    <w:rsid w:val="003335F7"/>
    <w:rsid w:val="00334AE7"/>
    <w:rsid w:val="0033565B"/>
    <w:rsid w:val="00337955"/>
    <w:rsid w:val="00337D50"/>
    <w:rsid w:val="003419E6"/>
    <w:rsid w:val="00341C54"/>
    <w:rsid w:val="0034220A"/>
    <w:rsid w:val="0034240C"/>
    <w:rsid w:val="00342962"/>
    <w:rsid w:val="00343B25"/>
    <w:rsid w:val="00343D34"/>
    <w:rsid w:val="003453F1"/>
    <w:rsid w:val="003460C3"/>
    <w:rsid w:val="00350232"/>
    <w:rsid w:val="00350C7A"/>
    <w:rsid w:val="00351236"/>
    <w:rsid w:val="0035311A"/>
    <w:rsid w:val="00353F76"/>
    <w:rsid w:val="00354AF5"/>
    <w:rsid w:val="003564F6"/>
    <w:rsid w:val="00356533"/>
    <w:rsid w:val="003570F2"/>
    <w:rsid w:val="003573A2"/>
    <w:rsid w:val="003574C6"/>
    <w:rsid w:val="00360086"/>
    <w:rsid w:val="00360BAE"/>
    <w:rsid w:val="00362D7A"/>
    <w:rsid w:val="00362E36"/>
    <w:rsid w:val="00364CD9"/>
    <w:rsid w:val="00366540"/>
    <w:rsid w:val="00367C05"/>
    <w:rsid w:val="00370005"/>
    <w:rsid w:val="003702B8"/>
    <w:rsid w:val="00370509"/>
    <w:rsid w:val="0037099C"/>
    <w:rsid w:val="00370BF1"/>
    <w:rsid w:val="00372D73"/>
    <w:rsid w:val="003748D7"/>
    <w:rsid w:val="003748FD"/>
    <w:rsid w:val="00375325"/>
    <w:rsid w:val="003753F8"/>
    <w:rsid w:val="00375C8A"/>
    <w:rsid w:val="00376A03"/>
    <w:rsid w:val="00376B98"/>
    <w:rsid w:val="003776C0"/>
    <w:rsid w:val="00380163"/>
    <w:rsid w:val="0038027B"/>
    <w:rsid w:val="003806D5"/>
    <w:rsid w:val="00380CFB"/>
    <w:rsid w:val="00382146"/>
    <w:rsid w:val="003828B8"/>
    <w:rsid w:val="00382BC6"/>
    <w:rsid w:val="00382D89"/>
    <w:rsid w:val="00384082"/>
    <w:rsid w:val="003841F2"/>
    <w:rsid w:val="00384750"/>
    <w:rsid w:val="00385BE7"/>
    <w:rsid w:val="00387AF3"/>
    <w:rsid w:val="00390519"/>
    <w:rsid w:val="003906F2"/>
    <w:rsid w:val="00391CD9"/>
    <w:rsid w:val="00393EDE"/>
    <w:rsid w:val="00394073"/>
    <w:rsid w:val="003949CA"/>
    <w:rsid w:val="00394FF0"/>
    <w:rsid w:val="00395688"/>
    <w:rsid w:val="003958B5"/>
    <w:rsid w:val="00396765"/>
    <w:rsid w:val="00396B30"/>
    <w:rsid w:val="003A019D"/>
    <w:rsid w:val="003A2CFC"/>
    <w:rsid w:val="003A5523"/>
    <w:rsid w:val="003A5AC9"/>
    <w:rsid w:val="003A5D6A"/>
    <w:rsid w:val="003A6124"/>
    <w:rsid w:val="003A6C43"/>
    <w:rsid w:val="003A6C48"/>
    <w:rsid w:val="003A7622"/>
    <w:rsid w:val="003B1096"/>
    <w:rsid w:val="003B14FE"/>
    <w:rsid w:val="003B1536"/>
    <w:rsid w:val="003B22C3"/>
    <w:rsid w:val="003B31F2"/>
    <w:rsid w:val="003B33CF"/>
    <w:rsid w:val="003B34FC"/>
    <w:rsid w:val="003B3B1C"/>
    <w:rsid w:val="003B4026"/>
    <w:rsid w:val="003B4190"/>
    <w:rsid w:val="003B5F1A"/>
    <w:rsid w:val="003B62F7"/>
    <w:rsid w:val="003B785D"/>
    <w:rsid w:val="003B7E1D"/>
    <w:rsid w:val="003C028A"/>
    <w:rsid w:val="003C0EE0"/>
    <w:rsid w:val="003C3D86"/>
    <w:rsid w:val="003C43AA"/>
    <w:rsid w:val="003C448D"/>
    <w:rsid w:val="003C4B67"/>
    <w:rsid w:val="003C56DD"/>
    <w:rsid w:val="003C6CEB"/>
    <w:rsid w:val="003D02C0"/>
    <w:rsid w:val="003D0436"/>
    <w:rsid w:val="003D0B15"/>
    <w:rsid w:val="003D0BC4"/>
    <w:rsid w:val="003D1343"/>
    <w:rsid w:val="003D138F"/>
    <w:rsid w:val="003D31BC"/>
    <w:rsid w:val="003D4B33"/>
    <w:rsid w:val="003D4E0E"/>
    <w:rsid w:val="003D6AF2"/>
    <w:rsid w:val="003D703D"/>
    <w:rsid w:val="003E14BA"/>
    <w:rsid w:val="003E15CD"/>
    <w:rsid w:val="003E64CE"/>
    <w:rsid w:val="003E7280"/>
    <w:rsid w:val="003F1079"/>
    <w:rsid w:val="003F175F"/>
    <w:rsid w:val="003F1FD4"/>
    <w:rsid w:val="003F2415"/>
    <w:rsid w:val="003F547D"/>
    <w:rsid w:val="003F7034"/>
    <w:rsid w:val="00400244"/>
    <w:rsid w:val="00401F9B"/>
    <w:rsid w:val="00402975"/>
    <w:rsid w:val="00402E2E"/>
    <w:rsid w:val="00403667"/>
    <w:rsid w:val="004049E9"/>
    <w:rsid w:val="004067A0"/>
    <w:rsid w:val="0041075F"/>
    <w:rsid w:val="004111C1"/>
    <w:rsid w:val="004115DE"/>
    <w:rsid w:val="0041169A"/>
    <w:rsid w:val="00412D7F"/>
    <w:rsid w:val="00413A18"/>
    <w:rsid w:val="004205F3"/>
    <w:rsid w:val="00420E59"/>
    <w:rsid w:val="00423992"/>
    <w:rsid w:val="00423E3E"/>
    <w:rsid w:val="004253E0"/>
    <w:rsid w:val="00425ABC"/>
    <w:rsid w:val="00425D2D"/>
    <w:rsid w:val="00426465"/>
    <w:rsid w:val="00426542"/>
    <w:rsid w:val="00426DD6"/>
    <w:rsid w:val="00427DC2"/>
    <w:rsid w:val="0043216F"/>
    <w:rsid w:val="00433083"/>
    <w:rsid w:val="00433C37"/>
    <w:rsid w:val="004349DB"/>
    <w:rsid w:val="0043582C"/>
    <w:rsid w:val="00436CC8"/>
    <w:rsid w:val="004379DC"/>
    <w:rsid w:val="00437DB7"/>
    <w:rsid w:val="00441000"/>
    <w:rsid w:val="0044162F"/>
    <w:rsid w:val="00441783"/>
    <w:rsid w:val="004417E1"/>
    <w:rsid w:val="004421D6"/>
    <w:rsid w:val="004427A9"/>
    <w:rsid w:val="00442B39"/>
    <w:rsid w:val="00445AD5"/>
    <w:rsid w:val="00446A4D"/>
    <w:rsid w:val="004470C5"/>
    <w:rsid w:val="00447BDF"/>
    <w:rsid w:val="004504F9"/>
    <w:rsid w:val="004508EF"/>
    <w:rsid w:val="0045092C"/>
    <w:rsid w:val="00450C9D"/>
    <w:rsid w:val="00451F0C"/>
    <w:rsid w:val="00452248"/>
    <w:rsid w:val="00452E83"/>
    <w:rsid w:val="00453514"/>
    <w:rsid w:val="004547D9"/>
    <w:rsid w:val="00454E6E"/>
    <w:rsid w:val="0045525D"/>
    <w:rsid w:val="00455327"/>
    <w:rsid w:val="004556D1"/>
    <w:rsid w:val="00457786"/>
    <w:rsid w:val="004611E2"/>
    <w:rsid w:val="0046132D"/>
    <w:rsid w:val="00461975"/>
    <w:rsid w:val="00462102"/>
    <w:rsid w:val="0046495B"/>
    <w:rsid w:val="00464E42"/>
    <w:rsid w:val="0046514D"/>
    <w:rsid w:val="00465B5F"/>
    <w:rsid w:val="00466143"/>
    <w:rsid w:val="0046640D"/>
    <w:rsid w:val="00467EC4"/>
    <w:rsid w:val="00470385"/>
    <w:rsid w:val="00470995"/>
    <w:rsid w:val="00470C3D"/>
    <w:rsid w:val="00471061"/>
    <w:rsid w:val="00471B1B"/>
    <w:rsid w:val="004729EF"/>
    <w:rsid w:val="00473FD1"/>
    <w:rsid w:val="00475CC6"/>
    <w:rsid w:val="00475CE0"/>
    <w:rsid w:val="00476D62"/>
    <w:rsid w:val="00482E43"/>
    <w:rsid w:val="00483645"/>
    <w:rsid w:val="00484A11"/>
    <w:rsid w:val="00484D0B"/>
    <w:rsid w:val="00484FC3"/>
    <w:rsid w:val="00485158"/>
    <w:rsid w:val="00485726"/>
    <w:rsid w:val="0048721A"/>
    <w:rsid w:val="004910BB"/>
    <w:rsid w:val="00491521"/>
    <w:rsid w:val="00491A79"/>
    <w:rsid w:val="00492307"/>
    <w:rsid w:val="004924EE"/>
    <w:rsid w:val="00494E14"/>
    <w:rsid w:val="0049534E"/>
    <w:rsid w:val="00495A3F"/>
    <w:rsid w:val="0049611A"/>
    <w:rsid w:val="004963FE"/>
    <w:rsid w:val="004A0898"/>
    <w:rsid w:val="004A0B68"/>
    <w:rsid w:val="004A0C95"/>
    <w:rsid w:val="004A10BB"/>
    <w:rsid w:val="004A162E"/>
    <w:rsid w:val="004A1C42"/>
    <w:rsid w:val="004A3295"/>
    <w:rsid w:val="004A371B"/>
    <w:rsid w:val="004A39CF"/>
    <w:rsid w:val="004A3EA6"/>
    <w:rsid w:val="004A46DF"/>
    <w:rsid w:val="004A5ADA"/>
    <w:rsid w:val="004A5CE9"/>
    <w:rsid w:val="004A6BDE"/>
    <w:rsid w:val="004B014E"/>
    <w:rsid w:val="004B0992"/>
    <w:rsid w:val="004B15DB"/>
    <w:rsid w:val="004B1671"/>
    <w:rsid w:val="004B1FE5"/>
    <w:rsid w:val="004B27CB"/>
    <w:rsid w:val="004B2AC9"/>
    <w:rsid w:val="004B37EB"/>
    <w:rsid w:val="004B5C79"/>
    <w:rsid w:val="004B5FF5"/>
    <w:rsid w:val="004B6285"/>
    <w:rsid w:val="004B6B77"/>
    <w:rsid w:val="004B6D60"/>
    <w:rsid w:val="004B6F76"/>
    <w:rsid w:val="004B7159"/>
    <w:rsid w:val="004C10A5"/>
    <w:rsid w:val="004C31E7"/>
    <w:rsid w:val="004C3F5B"/>
    <w:rsid w:val="004C642E"/>
    <w:rsid w:val="004C6728"/>
    <w:rsid w:val="004C7396"/>
    <w:rsid w:val="004C7EC1"/>
    <w:rsid w:val="004D0303"/>
    <w:rsid w:val="004D0694"/>
    <w:rsid w:val="004D0926"/>
    <w:rsid w:val="004D12F4"/>
    <w:rsid w:val="004D276A"/>
    <w:rsid w:val="004D2B6F"/>
    <w:rsid w:val="004D390D"/>
    <w:rsid w:val="004D3FB6"/>
    <w:rsid w:val="004D55BF"/>
    <w:rsid w:val="004D6E43"/>
    <w:rsid w:val="004D7038"/>
    <w:rsid w:val="004D7A64"/>
    <w:rsid w:val="004E193E"/>
    <w:rsid w:val="004E1E0D"/>
    <w:rsid w:val="004E2E08"/>
    <w:rsid w:val="004E4DFC"/>
    <w:rsid w:val="004E508E"/>
    <w:rsid w:val="004E65DC"/>
    <w:rsid w:val="004E6E88"/>
    <w:rsid w:val="004E70DC"/>
    <w:rsid w:val="004E7728"/>
    <w:rsid w:val="004E7A81"/>
    <w:rsid w:val="004F09AC"/>
    <w:rsid w:val="004F0FA1"/>
    <w:rsid w:val="004F2AC3"/>
    <w:rsid w:val="004F2B6C"/>
    <w:rsid w:val="004F378F"/>
    <w:rsid w:val="004F419B"/>
    <w:rsid w:val="004F4CE1"/>
    <w:rsid w:val="004F55BF"/>
    <w:rsid w:val="004F72EE"/>
    <w:rsid w:val="00500441"/>
    <w:rsid w:val="005018C5"/>
    <w:rsid w:val="0050194D"/>
    <w:rsid w:val="00501AD2"/>
    <w:rsid w:val="00502698"/>
    <w:rsid w:val="00502D15"/>
    <w:rsid w:val="00502EA9"/>
    <w:rsid w:val="00503080"/>
    <w:rsid w:val="0050319E"/>
    <w:rsid w:val="005032A5"/>
    <w:rsid w:val="00503936"/>
    <w:rsid w:val="0050741E"/>
    <w:rsid w:val="00507847"/>
    <w:rsid w:val="00507D12"/>
    <w:rsid w:val="00511228"/>
    <w:rsid w:val="00511253"/>
    <w:rsid w:val="005129C8"/>
    <w:rsid w:val="00513B90"/>
    <w:rsid w:val="00514025"/>
    <w:rsid w:val="00514031"/>
    <w:rsid w:val="0051457D"/>
    <w:rsid w:val="00520233"/>
    <w:rsid w:val="00521AAE"/>
    <w:rsid w:val="00521E0C"/>
    <w:rsid w:val="005227DA"/>
    <w:rsid w:val="00522DA5"/>
    <w:rsid w:val="00522E97"/>
    <w:rsid w:val="00522FF1"/>
    <w:rsid w:val="00523282"/>
    <w:rsid w:val="00523CE3"/>
    <w:rsid w:val="00523F61"/>
    <w:rsid w:val="00524272"/>
    <w:rsid w:val="0052467C"/>
    <w:rsid w:val="0052470C"/>
    <w:rsid w:val="00525090"/>
    <w:rsid w:val="00525F13"/>
    <w:rsid w:val="005266B9"/>
    <w:rsid w:val="00526D4B"/>
    <w:rsid w:val="0052786E"/>
    <w:rsid w:val="005308D6"/>
    <w:rsid w:val="005316D0"/>
    <w:rsid w:val="00531C1E"/>
    <w:rsid w:val="00531FA1"/>
    <w:rsid w:val="00532EE0"/>
    <w:rsid w:val="00534301"/>
    <w:rsid w:val="005357CC"/>
    <w:rsid w:val="005360CF"/>
    <w:rsid w:val="00536420"/>
    <w:rsid w:val="0053681C"/>
    <w:rsid w:val="00537418"/>
    <w:rsid w:val="00537615"/>
    <w:rsid w:val="0053777A"/>
    <w:rsid w:val="0054023E"/>
    <w:rsid w:val="005407FC"/>
    <w:rsid w:val="00540BE0"/>
    <w:rsid w:val="00540C7D"/>
    <w:rsid w:val="00542872"/>
    <w:rsid w:val="00543567"/>
    <w:rsid w:val="00543A5C"/>
    <w:rsid w:val="00544606"/>
    <w:rsid w:val="0054551B"/>
    <w:rsid w:val="00545616"/>
    <w:rsid w:val="00546031"/>
    <w:rsid w:val="005464D5"/>
    <w:rsid w:val="00547156"/>
    <w:rsid w:val="0054730C"/>
    <w:rsid w:val="00547F44"/>
    <w:rsid w:val="005500C3"/>
    <w:rsid w:val="005501FC"/>
    <w:rsid w:val="005504AB"/>
    <w:rsid w:val="00550A89"/>
    <w:rsid w:val="00550AA6"/>
    <w:rsid w:val="00550F97"/>
    <w:rsid w:val="00551327"/>
    <w:rsid w:val="0055166F"/>
    <w:rsid w:val="00551BB3"/>
    <w:rsid w:val="0055265D"/>
    <w:rsid w:val="00553F54"/>
    <w:rsid w:val="005540C7"/>
    <w:rsid w:val="005547C6"/>
    <w:rsid w:val="00555795"/>
    <w:rsid w:val="00555EB9"/>
    <w:rsid w:val="00556432"/>
    <w:rsid w:val="005576E2"/>
    <w:rsid w:val="00557D7A"/>
    <w:rsid w:val="00560270"/>
    <w:rsid w:val="00561A12"/>
    <w:rsid w:val="005625D0"/>
    <w:rsid w:val="00562F1B"/>
    <w:rsid w:val="005658C3"/>
    <w:rsid w:val="00566A8D"/>
    <w:rsid w:val="005670CE"/>
    <w:rsid w:val="00570CE9"/>
    <w:rsid w:val="005711BB"/>
    <w:rsid w:val="00571439"/>
    <w:rsid w:val="00571CD1"/>
    <w:rsid w:val="00572D8A"/>
    <w:rsid w:val="00572F4D"/>
    <w:rsid w:val="00573778"/>
    <w:rsid w:val="00574B35"/>
    <w:rsid w:val="00574C06"/>
    <w:rsid w:val="00575FD6"/>
    <w:rsid w:val="00576460"/>
    <w:rsid w:val="0057663F"/>
    <w:rsid w:val="005806B3"/>
    <w:rsid w:val="0058095D"/>
    <w:rsid w:val="0058145B"/>
    <w:rsid w:val="00581894"/>
    <w:rsid w:val="00581AED"/>
    <w:rsid w:val="005823D2"/>
    <w:rsid w:val="0058292A"/>
    <w:rsid w:val="00583F94"/>
    <w:rsid w:val="005843C4"/>
    <w:rsid w:val="0058468C"/>
    <w:rsid w:val="0058471E"/>
    <w:rsid w:val="00584C9C"/>
    <w:rsid w:val="00584D00"/>
    <w:rsid w:val="0058515F"/>
    <w:rsid w:val="005857FB"/>
    <w:rsid w:val="00586994"/>
    <w:rsid w:val="00586C79"/>
    <w:rsid w:val="005876A9"/>
    <w:rsid w:val="00587E4E"/>
    <w:rsid w:val="00587F94"/>
    <w:rsid w:val="00590673"/>
    <w:rsid w:val="005919C5"/>
    <w:rsid w:val="00591B4A"/>
    <w:rsid w:val="005922CF"/>
    <w:rsid w:val="00592DF3"/>
    <w:rsid w:val="00593967"/>
    <w:rsid w:val="00594A33"/>
    <w:rsid w:val="00594B1E"/>
    <w:rsid w:val="00595B5E"/>
    <w:rsid w:val="0059777A"/>
    <w:rsid w:val="00597932"/>
    <w:rsid w:val="00597D26"/>
    <w:rsid w:val="005A011E"/>
    <w:rsid w:val="005A0DBE"/>
    <w:rsid w:val="005A1A2C"/>
    <w:rsid w:val="005A2005"/>
    <w:rsid w:val="005A3A15"/>
    <w:rsid w:val="005A3DA3"/>
    <w:rsid w:val="005A44E5"/>
    <w:rsid w:val="005A51CC"/>
    <w:rsid w:val="005A5905"/>
    <w:rsid w:val="005A5A05"/>
    <w:rsid w:val="005A671C"/>
    <w:rsid w:val="005A6A22"/>
    <w:rsid w:val="005A6D0A"/>
    <w:rsid w:val="005A71DE"/>
    <w:rsid w:val="005B089F"/>
    <w:rsid w:val="005B25CB"/>
    <w:rsid w:val="005B3024"/>
    <w:rsid w:val="005B30E1"/>
    <w:rsid w:val="005B3F61"/>
    <w:rsid w:val="005B5F2C"/>
    <w:rsid w:val="005B745A"/>
    <w:rsid w:val="005B7A85"/>
    <w:rsid w:val="005C06D0"/>
    <w:rsid w:val="005C0832"/>
    <w:rsid w:val="005C275E"/>
    <w:rsid w:val="005C2BFD"/>
    <w:rsid w:val="005C3403"/>
    <w:rsid w:val="005C3487"/>
    <w:rsid w:val="005C4899"/>
    <w:rsid w:val="005C4DF8"/>
    <w:rsid w:val="005C6755"/>
    <w:rsid w:val="005C7BE7"/>
    <w:rsid w:val="005C7C85"/>
    <w:rsid w:val="005D07C6"/>
    <w:rsid w:val="005D20C3"/>
    <w:rsid w:val="005D2334"/>
    <w:rsid w:val="005D3680"/>
    <w:rsid w:val="005D4912"/>
    <w:rsid w:val="005D4D57"/>
    <w:rsid w:val="005D6953"/>
    <w:rsid w:val="005D7257"/>
    <w:rsid w:val="005E01AF"/>
    <w:rsid w:val="005E0A68"/>
    <w:rsid w:val="005E1BC1"/>
    <w:rsid w:val="005E276E"/>
    <w:rsid w:val="005E3BD9"/>
    <w:rsid w:val="005E3D8F"/>
    <w:rsid w:val="005E4EFF"/>
    <w:rsid w:val="005E553A"/>
    <w:rsid w:val="005E685C"/>
    <w:rsid w:val="005E6A7A"/>
    <w:rsid w:val="005E7FB1"/>
    <w:rsid w:val="005F0475"/>
    <w:rsid w:val="005F0734"/>
    <w:rsid w:val="005F0B54"/>
    <w:rsid w:val="005F0D65"/>
    <w:rsid w:val="005F0F0D"/>
    <w:rsid w:val="005F163B"/>
    <w:rsid w:val="005F188F"/>
    <w:rsid w:val="005F2197"/>
    <w:rsid w:val="005F21DD"/>
    <w:rsid w:val="005F2A94"/>
    <w:rsid w:val="005F3D1B"/>
    <w:rsid w:val="005F4F5E"/>
    <w:rsid w:val="005F5361"/>
    <w:rsid w:val="005F5896"/>
    <w:rsid w:val="005F69BF"/>
    <w:rsid w:val="005F70B6"/>
    <w:rsid w:val="005F75A7"/>
    <w:rsid w:val="00600582"/>
    <w:rsid w:val="00600EC9"/>
    <w:rsid w:val="00600FC7"/>
    <w:rsid w:val="0060170B"/>
    <w:rsid w:val="00601FCC"/>
    <w:rsid w:val="006028E4"/>
    <w:rsid w:val="0060526F"/>
    <w:rsid w:val="006061B9"/>
    <w:rsid w:val="00607D1D"/>
    <w:rsid w:val="00610057"/>
    <w:rsid w:val="00612A7F"/>
    <w:rsid w:val="00613C0B"/>
    <w:rsid w:val="006141C0"/>
    <w:rsid w:val="006151DB"/>
    <w:rsid w:val="00615394"/>
    <w:rsid w:val="00616750"/>
    <w:rsid w:val="00616BEE"/>
    <w:rsid w:val="00620F85"/>
    <w:rsid w:val="00621193"/>
    <w:rsid w:val="00621931"/>
    <w:rsid w:val="00623851"/>
    <w:rsid w:val="00626531"/>
    <w:rsid w:val="00627CAB"/>
    <w:rsid w:val="00630801"/>
    <w:rsid w:val="0063084F"/>
    <w:rsid w:val="00630B4B"/>
    <w:rsid w:val="0063107B"/>
    <w:rsid w:val="0063143F"/>
    <w:rsid w:val="006315C0"/>
    <w:rsid w:val="006315D4"/>
    <w:rsid w:val="0063180D"/>
    <w:rsid w:val="00631A27"/>
    <w:rsid w:val="00632F1E"/>
    <w:rsid w:val="00633934"/>
    <w:rsid w:val="006346B4"/>
    <w:rsid w:val="006349E7"/>
    <w:rsid w:val="006358E3"/>
    <w:rsid w:val="00636B45"/>
    <w:rsid w:val="00641553"/>
    <w:rsid w:val="006425DB"/>
    <w:rsid w:val="00643173"/>
    <w:rsid w:val="00643CFF"/>
    <w:rsid w:val="00643EA0"/>
    <w:rsid w:val="00645EFA"/>
    <w:rsid w:val="006460DA"/>
    <w:rsid w:val="00646359"/>
    <w:rsid w:val="006470BC"/>
    <w:rsid w:val="0064742B"/>
    <w:rsid w:val="006510E2"/>
    <w:rsid w:val="006519E3"/>
    <w:rsid w:val="00651C4A"/>
    <w:rsid w:val="00652858"/>
    <w:rsid w:val="00652902"/>
    <w:rsid w:val="0065393F"/>
    <w:rsid w:val="00653ACC"/>
    <w:rsid w:val="00654B28"/>
    <w:rsid w:val="00655317"/>
    <w:rsid w:val="0065761D"/>
    <w:rsid w:val="00657AE1"/>
    <w:rsid w:val="00660FE9"/>
    <w:rsid w:val="00661994"/>
    <w:rsid w:val="00661C29"/>
    <w:rsid w:val="006633FB"/>
    <w:rsid w:val="00663443"/>
    <w:rsid w:val="00663B24"/>
    <w:rsid w:val="00664758"/>
    <w:rsid w:val="006651B4"/>
    <w:rsid w:val="006674BE"/>
    <w:rsid w:val="00667C72"/>
    <w:rsid w:val="00670915"/>
    <w:rsid w:val="0067092F"/>
    <w:rsid w:val="00670BB7"/>
    <w:rsid w:val="00670D0B"/>
    <w:rsid w:val="0067104D"/>
    <w:rsid w:val="00671779"/>
    <w:rsid w:val="00671EEF"/>
    <w:rsid w:val="0067281D"/>
    <w:rsid w:val="00672FCA"/>
    <w:rsid w:val="00674FE1"/>
    <w:rsid w:val="0067517C"/>
    <w:rsid w:val="006754F3"/>
    <w:rsid w:val="00675F1A"/>
    <w:rsid w:val="0067715D"/>
    <w:rsid w:val="00677368"/>
    <w:rsid w:val="00677413"/>
    <w:rsid w:val="00677606"/>
    <w:rsid w:val="006779CF"/>
    <w:rsid w:val="00677B19"/>
    <w:rsid w:val="0068003B"/>
    <w:rsid w:val="00681662"/>
    <w:rsid w:val="00681EE2"/>
    <w:rsid w:val="00682077"/>
    <w:rsid w:val="00682209"/>
    <w:rsid w:val="00682432"/>
    <w:rsid w:val="006838A1"/>
    <w:rsid w:val="00684288"/>
    <w:rsid w:val="0068518C"/>
    <w:rsid w:val="00685F39"/>
    <w:rsid w:val="006869A1"/>
    <w:rsid w:val="0068707D"/>
    <w:rsid w:val="00687809"/>
    <w:rsid w:val="00687FD8"/>
    <w:rsid w:val="00692639"/>
    <w:rsid w:val="00693259"/>
    <w:rsid w:val="00694CB8"/>
    <w:rsid w:val="00697C1C"/>
    <w:rsid w:val="006A071D"/>
    <w:rsid w:val="006A078C"/>
    <w:rsid w:val="006A1327"/>
    <w:rsid w:val="006A265A"/>
    <w:rsid w:val="006A2CC0"/>
    <w:rsid w:val="006A3763"/>
    <w:rsid w:val="006A3E36"/>
    <w:rsid w:val="006A3EF9"/>
    <w:rsid w:val="006A4B60"/>
    <w:rsid w:val="006A5BFF"/>
    <w:rsid w:val="006A696B"/>
    <w:rsid w:val="006A7147"/>
    <w:rsid w:val="006A7881"/>
    <w:rsid w:val="006A7E18"/>
    <w:rsid w:val="006B1109"/>
    <w:rsid w:val="006B15D3"/>
    <w:rsid w:val="006B1714"/>
    <w:rsid w:val="006B19F4"/>
    <w:rsid w:val="006B1A2A"/>
    <w:rsid w:val="006B2451"/>
    <w:rsid w:val="006B27C2"/>
    <w:rsid w:val="006B29EB"/>
    <w:rsid w:val="006B337A"/>
    <w:rsid w:val="006B3B1F"/>
    <w:rsid w:val="006B3C75"/>
    <w:rsid w:val="006B4964"/>
    <w:rsid w:val="006B5849"/>
    <w:rsid w:val="006B629E"/>
    <w:rsid w:val="006C0774"/>
    <w:rsid w:val="006C0CE8"/>
    <w:rsid w:val="006C14C7"/>
    <w:rsid w:val="006C3488"/>
    <w:rsid w:val="006C39F5"/>
    <w:rsid w:val="006C43C7"/>
    <w:rsid w:val="006C4CDC"/>
    <w:rsid w:val="006C5DDF"/>
    <w:rsid w:val="006C671C"/>
    <w:rsid w:val="006C7331"/>
    <w:rsid w:val="006D12EC"/>
    <w:rsid w:val="006D16E5"/>
    <w:rsid w:val="006D17FF"/>
    <w:rsid w:val="006D1970"/>
    <w:rsid w:val="006D1B7A"/>
    <w:rsid w:val="006D1C4C"/>
    <w:rsid w:val="006D2526"/>
    <w:rsid w:val="006D2716"/>
    <w:rsid w:val="006D3AB1"/>
    <w:rsid w:val="006D3E2E"/>
    <w:rsid w:val="006D4E1C"/>
    <w:rsid w:val="006D6910"/>
    <w:rsid w:val="006D6B2A"/>
    <w:rsid w:val="006D6E12"/>
    <w:rsid w:val="006D73AF"/>
    <w:rsid w:val="006D75D1"/>
    <w:rsid w:val="006D7760"/>
    <w:rsid w:val="006D7962"/>
    <w:rsid w:val="006E0596"/>
    <w:rsid w:val="006E08E1"/>
    <w:rsid w:val="006E21FB"/>
    <w:rsid w:val="006E2494"/>
    <w:rsid w:val="006E2C0A"/>
    <w:rsid w:val="006E307B"/>
    <w:rsid w:val="006E4917"/>
    <w:rsid w:val="006E4F56"/>
    <w:rsid w:val="006F0A58"/>
    <w:rsid w:val="006F0D01"/>
    <w:rsid w:val="006F1183"/>
    <w:rsid w:val="006F121E"/>
    <w:rsid w:val="006F20C1"/>
    <w:rsid w:val="006F246A"/>
    <w:rsid w:val="006F27AF"/>
    <w:rsid w:val="006F2807"/>
    <w:rsid w:val="006F35EB"/>
    <w:rsid w:val="006F3BD9"/>
    <w:rsid w:val="006F4559"/>
    <w:rsid w:val="006F622B"/>
    <w:rsid w:val="006F75FC"/>
    <w:rsid w:val="00700420"/>
    <w:rsid w:val="007004B1"/>
    <w:rsid w:val="00701CED"/>
    <w:rsid w:val="00701E5C"/>
    <w:rsid w:val="0070299A"/>
    <w:rsid w:val="00702D12"/>
    <w:rsid w:val="00704BBC"/>
    <w:rsid w:val="00705B9B"/>
    <w:rsid w:val="00705E95"/>
    <w:rsid w:val="00706801"/>
    <w:rsid w:val="0070691C"/>
    <w:rsid w:val="00710696"/>
    <w:rsid w:val="007124E2"/>
    <w:rsid w:val="00712BF3"/>
    <w:rsid w:val="007133CA"/>
    <w:rsid w:val="00714295"/>
    <w:rsid w:val="00715D46"/>
    <w:rsid w:val="0071715A"/>
    <w:rsid w:val="007171D2"/>
    <w:rsid w:val="00717DC8"/>
    <w:rsid w:val="00720527"/>
    <w:rsid w:val="00720A55"/>
    <w:rsid w:val="00720E76"/>
    <w:rsid w:val="00721338"/>
    <w:rsid w:val="00722D67"/>
    <w:rsid w:val="00723B51"/>
    <w:rsid w:val="007242D5"/>
    <w:rsid w:val="007243DA"/>
    <w:rsid w:val="007243E9"/>
    <w:rsid w:val="00724718"/>
    <w:rsid w:val="00725389"/>
    <w:rsid w:val="00727187"/>
    <w:rsid w:val="00727EB0"/>
    <w:rsid w:val="007302B9"/>
    <w:rsid w:val="0073085C"/>
    <w:rsid w:val="00730ED4"/>
    <w:rsid w:val="007317E0"/>
    <w:rsid w:val="007318C5"/>
    <w:rsid w:val="007321EE"/>
    <w:rsid w:val="00732D50"/>
    <w:rsid w:val="00732F41"/>
    <w:rsid w:val="00733036"/>
    <w:rsid w:val="00734277"/>
    <w:rsid w:val="00737512"/>
    <w:rsid w:val="0074010D"/>
    <w:rsid w:val="0074380B"/>
    <w:rsid w:val="00743F70"/>
    <w:rsid w:val="00744416"/>
    <w:rsid w:val="00744CFE"/>
    <w:rsid w:val="00744EAA"/>
    <w:rsid w:val="00745364"/>
    <w:rsid w:val="007465DC"/>
    <w:rsid w:val="00746D8B"/>
    <w:rsid w:val="00747656"/>
    <w:rsid w:val="00747C9A"/>
    <w:rsid w:val="00750058"/>
    <w:rsid w:val="007502A5"/>
    <w:rsid w:val="007507BD"/>
    <w:rsid w:val="0075096A"/>
    <w:rsid w:val="00750CD2"/>
    <w:rsid w:val="00751382"/>
    <w:rsid w:val="00755E5D"/>
    <w:rsid w:val="00756135"/>
    <w:rsid w:val="00756488"/>
    <w:rsid w:val="0075662F"/>
    <w:rsid w:val="0075678B"/>
    <w:rsid w:val="00756BDD"/>
    <w:rsid w:val="00756D80"/>
    <w:rsid w:val="00756E83"/>
    <w:rsid w:val="007605A4"/>
    <w:rsid w:val="00760817"/>
    <w:rsid w:val="00760A42"/>
    <w:rsid w:val="00761859"/>
    <w:rsid w:val="007628F5"/>
    <w:rsid w:val="00763ECD"/>
    <w:rsid w:val="007641E5"/>
    <w:rsid w:val="0076443C"/>
    <w:rsid w:val="00764E29"/>
    <w:rsid w:val="00765444"/>
    <w:rsid w:val="00765CBD"/>
    <w:rsid w:val="00767479"/>
    <w:rsid w:val="00767F72"/>
    <w:rsid w:val="00770341"/>
    <w:rsid w:val="00771572"/>
    <w:rsid w:val="0077250E"/>
    <w:rsid w:val="00772CED"/>
    <w:rsid w:val="00772E9D"/>
    <w:rsid w:val="00773EBB"/>
    <w:rsid w:val="00774B64"/>
    <w:rsid w:val="00776C47"/>
    <w:rsid w:val="00776E4B"/>
    <w:rsid w:val="00781883"/>
    <w:rsid w:val="0078449D"/>
    <w:rsid w:val="00784A58"/>
    <w:rsid w:val="00784D37"/>
    <w:rsid w:val="0078629C"/>
    <w:rsid w:val="007900F4"/>
    <w:rsid w:val="0079062F"/>
    <w:rsid w:val="0079090B"/>
    <w:rsid w:val="00790C1D"/>
    <w:rsid w:val="0079146A"/>
    <w:rsid w:val="00791F6C"/>
    <w:rsid w:val="007924DA"/>
    <w:rsid w:val="00792B1D"/>
    <w:rsid w:val="007934B0"/>
    <w:rsid w:val="00793FF0"/>
    <w:rsid w:val="00795EB4"/>
    <w:rsid w:val="007962B4"/>
    <w:rsid w:val="0079639A"/>
    <w:rsid w:val="00796D6D"/>
    <w:rsid w:val="0079708A"/>
    <w:rsid w:val="007976B8"/>
    <w:rsid w:val="007A1B43"/>
    <w:rsid w:val="007A1C04"/>
    <w:rsid w:val="007A5BFB"/>
    <w:rsid w:val="007A6EB3"/>
    <w:rsid w:val="007A7268"/>
    <w:rsid w:val="007B0FF3"/>
    <w:rsid w:val="007B1710"/>
    <w:rsid w:val="007B1715"/>
    <w:rsid w:val="007B20E3"/>
    <w:rsid w:val="007B2130"/>
    <w:rsid w:val="007B2975"/>
    <w:rsid w:val="007B3535"/>
    <w:rsid w:val="007B3579"/>
    <w:rsid w:val="007B3E16"/>
    <w:rsid w:val="007B4684"/>
    <w:rsid w:val="007B49D7"/>
    <w:rsid w:val="007B587B"/>
    <w:rsid w:val="007B65D7"/>
    <w:rsid w:val="007B7E4C"/>
    <w:rsid w:val="007B7F32"/>
    <w:rsid w:val="007C33C9"/>
    <w:rsid w:val="007C3733"/>
    <w:rsid w:val="007C39B6"/>
    <w:rsid w:val="007C4185"/>
    <w:rsid w:val="007C425B"/>
    <w:rsid w:val="007C4B2B"/>
    <w:rsid w:val="007C6780"/>
    <w:rsid w:val="007C6FC3"/>
    <w:rsid w:val="007C7494"/>
    <w:rsid w:val="007D0C62"/>
    <w:rsid w:val="007D1144"/>
    <w:rsid w:val="007D1214"/>
    <w:rsid w:val="007D1462"/>
    <w:rsid w:val="007D19BB"/>
    <w:rsid w:val="007D20A1"/>
    <w:rsid w:val="007D24FD"/>
    <w:rsid w:val="007D29AA"/>
    <w:rsid w:val="007D2F36"/>
    <w:rsid w:val="007D3345"/>
    <w:rsid w:val="007D3940"/>
    <w:rsid w:val="007D41DD"/>
    <w:rsid w:val="007D42B9"/>
    <w:rsid w:val="007D4928"/>
    <w:rsid w:val="007D4E08"/>
    <w:rsid w:val="007D57E0"/>
    <w:rsid w:val="007D6131"/>
    <w:rsid w:val="007D6C2E"/>
    <w:rsid w:val="007E0EC3"/>
    <w:rsid w:val="007E1426"/>
    <w:rsid w:val="007E1AF4"/>
    <w:rsid w:val="007E439B"/>
    <w:rsid w:val="007E47FC"/>
    <w:rsid w:val="007E4ABA"/>
    <w:rsid w:val="007E5F99"/>
    <w:rsid w:val="007E6D21"/>
    <w:rsid w:val="007E7269"/>
    <w:rsid w:val="007E7290"/>
    <w:rsid w:val="007E7A5B"/>
    <w:rsid w:val="007F0AC0"/>
    <w:rsid w:val="007F16A1"/>
    <w:rsid w:val="007F1B56"/>
    <w:rsid w:val="007F20CE"/>
    <w:rsid w:val="007F238A"/>
    <w:rsid w:val="007F2637"/>
    <w:rsid w:val="007F2642"/>
    <w:rsid w:val="007F2EEB"/>
    <w:rsid w:val="007F3A13"/>
    <w:rsid w:val="007F4998"/>
    <w:rsid w:val="007F4CD3"/>
    <w:rsid w:val="007F5333"/>
    <w:rsid w:val="007F5A4E"/>
    <w:rsid w:val="007F5EA3"/>
    <w:rsid w:val="007F6BAF"/>
    <w:rsid w:val="007F75BE"/>
    <w:rsid w:val="0080063C"/>
    <w:rsid w:val="00801753"/>
    <w:rsid w:val="00801EFD"/>
    <w:rsid w:val="00802012"/>
    <w:rsid w:val="00802831"/>
    <w:rsid w:val="00802C4B"/>
    <w:rsid w:val="00802F7E"/>
    <w:rsid w:val="00804603"/>
    <w:rsid w:val="00804D15"/>
    <w:rsid w:val="00805476"/>
    <w:rsid w:val="008059B9"/>
    <w:rsid w:val="00805FFF"/>
    <w:rsid w:val="008069C8"/>
    <w:rsid w:val="00806EB0"/>
    <w:rsid w:val="008071D4"/>
    <w:rsid w:val="00810069"/>
    <w:rsid w:val="0081099F"/>
    <w:rsid w:val="00810BA2"/>
    <w:rsid w:val="00810C65"/>
    <w:rsid w:val="00811058"/>
    <w:rsid w:val="008116C4"/>
    <w:rsid w:val="0081174B"/>
    <w:rsid w:val="00811FD7"/>
    <w:rsid w:val="008135F7"/>
    <w:rsid w:val="008137CB"/>
    <w:rsid w:val="00814E58"/>
    <w:rsid w:val="008172E7"/>
    <w:rsid w:val="00820AB1"/>
    <w:rsid w:val="00821F07"/>
    <w:rsid w:val="00822740"/>
    <w:rsid w:val="00824999"/>
    <w:rsid w:val="0082523A"/>
    <w:rsid w:val="0082523D"/>
    <w:rsid w:val="008255B7"/>
    <w:rsid w:val="00825EDE"/>
    <w:rsid w:val="00826621"/>
    <w:rsid w:val="00826668"/>
    <w:rsid w:val="00826CC5"/>
    <w:rsid w:val="008279A3"/>
    <w:rsid w:val="00827FFE"/>
    <w:rsid w:val="00830D08"/>
    <w:rsid w:val="00831AE8"/>
    <w:rsid w:val="008320AD"/>
    <w:rsid w:val="008323A9"/>
    <w:rsid w:val="00832B27"/>
    <w:rsid w:val="00832F9D"/>
    <w:rsid w:val="00832FD2"/>
    <w:rsid w:val="00832FD4"/>
    <w:rsid w:val="00834786"/>
    <w:rsid w:val="00834FBF"/>
    <w:rsid w:val="008354E4"/>
    <w:rsid w:val="00835520"/>
    <w:rsid w:val="0083595F"/>
    <w:rsid w:val="00835C44"/>
    <w:rsid w:val="0083625D"/>
    <w:rsid w:val="00836B5B"/>
    <w:rsid w:val="00836CC1"/>
    <w:rsid w:val="00837100"/>
    <w:rsid w:val="00837EAA"/>
    <w:rsid w:val="0084004B"/>
    <w:rsid w:val="0084069E"/>
    <w:rsid w:val="0084165A"/>
    <w:rsid w:val="00841A21"/>
    <w:rsid w:val="008447C2"/>
    <w:rsid w:val="00845176"/>
    <w:rsid w:val="00845982"/>
    <w:rsid w:val="008462AD"/>
    <w:rsid w:val="008466FF"/>
    <w:rsid w:val="00846932"/>
    <w:rsid w:val="00846E51"/>
    <w:rsid w:val="008470A1"/>
    <w:rsid w:val="008474A9"/>
    <w:rsid w:val="00850250"/>
    <w:rsid w:val="008505A7"/>
    <w:rsid w:val="008522BF"/>
    <w:rsid w:val="00853433"/>
    <w:rsid w:val="00856BAF"/>
    <w:rsid w:val="00857E77"/>
    <w:rsid w:val="00861428"/>
    <w:rsid w:val="0086175B"/>
    <w:rsid w:val="00862599"/>
    <w:rsid w:val="0086299A"/>
    <w:rsid w:val="008631A3"/>
    <w:rsid w:val="0086350B"/>
    <w:rsid w:val="00863DF1"/>
    <w:rsid w:val="008642C8"/>
    <w:rsid w:val="008646AB"/>
    <w:rsid w:val="00864A96"/>
    <w:rsid w:val="00865300"/>
    <w:rsid w:val="00865869"/>
    <w:rsid w:val="008673C9"/>
    <w:rsid w:val="008676DF"/>
    <w:rsid w:val="00867807"/>
    <w:rsid w:val="008679AE"/>
    <w:rsid w:val="00867BC6"/>
    <w:rsid w:val="00867CA8"/>
    <w:rsid w:val="0087056F"/>
    <w:rsid w:val="00870FA7"/>
    <w:rsid w:val="008719E4"/>
    <w:rsid w:val="00872193"/>
    <w:rsid w:val="00872A91"/>
    <w:rsid w:val="00872EC0"/>
    <w:rsid w:val="008745FC"/>
    <w:rsid w:val="00875008"/>
    <w:rsid w:val="008768D2"/>
    <w:rsid w:val="00880623"/>
    <w:rsid w:val="0088139D"/>
    <w:rsid w:val="008828A3"/>
    <w:rsid w:val="008833D3"/>
    <w:rsid w:val="008844EA"/>
    <w:rsid w:val="00885031"/>
    <w:rsid w:val="00885701"/>
    <w:rsid w:val="00885730"/>
    <w:rsid w:val="0088597D"/>
    <w:rsid w:val="00885DA3"/>
    <w:rsid w:val="008862FE"/>
    <w:rsid w:val="00886F66"/>
    <w:rsid w:val="008870BB"/>
    <w:rsid w:val="008904AF"/>
    <w:rsid w:val="00890941"/>
    <w:rsid w:val="008909D1"/>
    <w:rsid w:val="00891092"/>
    <w:rsid w:val="0089178E"/>
    <w:rsid w:val="00892430"/>
    <w:rsid w:val="00892540"/>
    <w:rsid w:val="008933A4"/>
    <w:rsid w:val="00894819"/>
    <w:rsid w:val="0089495E"/>
    <w:rsid w:val="00894C4A"/>
    <w:rsid w:val="00896602"/>
    <w:rsid w:val="008967FE"/>
    <w:rsid w:val="00897360"/>
    <w:rsid w:val="00897841"/>
    <w:rsid w:val="00897E85"/>
    <w:rsid w:val="008A0482"/>
    <w:rsid w:val="008A0ACF"/>
    <w:rsid w:val="008A0C8F"/>
    <w:rsid w:val="008A2CD4"/>
    <w:rsid w:val="008A37B0"/>
    <w:rsid w:val="008A3A0A"/>
    <w:rsid w:val="008A3C16"/>
    <w:rsid w:val="008A43CB"/>
    <w:rsid w:val="008A455A"/>
    <w:rsid w:val="008A51BC"/>
    <w:rsid w:val="008A5A71"/>
    <w:rsid w:val="008A5DFE"/>
    <w:rsid w:val="008A5F50"/>
    <w:rsid w:val="008A6CC8"/>
    <w:rsid w:val="008B1EA7"/>
    <w:rsid w:val="008B2EAD"/>
    <w:rsid w:val="008B396A"/>
    <w:rsid w:val="008B3EEA"/>
    <w:rsid w:val="008B510D"/>
    <w:rsid w:val="008B59BF"/>
    <w:rsid w:val="008B64A2"/>
    <w:rsid w:val="008B6799"/>
    <w:rsid w:val="008B7F06"/>
    <w:rsid w:val="008C0157"/>
    <w:rsid w:val="008C061B"/>
    <w:rsid w:val="008C068D"/>
    <w:rsid w:val="008C1821"/>
    <w:rsid w:val="008C1AE3"/>
    <w:rsid w:val="008C1F61"/>
    <w:rsid w:val="008C4362"/>
    <w:rsid w:val="008C44C2"/>
    <w:rsid w:val="008C5155"/>
    <w:rsid w:val="008C5974"/>
    <w:rsid w:val="008C62D5"/>
    <w:rsid w:val="008C6883"/>
    <w:rsid w:val="008C6FD8"/>
    <w:rsid w:val="008C72E7"/>
    <w:rsid w:val="008C7743"/>
    <w:rsid w:val="008C7ACF"/>
    <w:rsid w:val="008D042C"/>
    <w:rsid w:val="008D0FD2"/>
    <w:rsid w:val="008D13E4"/>
    <w:rsid w:val="008D1CC4"/>
    <w:rsid w:val="008D272A"/>
    <w:rsid w:val="008D2CD4"/>
    <w:rsid w:val="008D4F4D"/>
    <w:rsid w:val="008D56A8"/>
    <w:rsid w:val="008D6220"/>
    <w:rsid w:val="008D6907"/>
    <w:rsid w:val="008D7FB7"/>
    <w:rsid w:val="008E010E"/>
    <w:rsid w:val="008E0891"/>
    <w:rsid w:val="008E0BB7"/>
    <w:rsid w:val="008E14B4"/>
    <w:rsid w:val="008E23E3"/>
    <w:rsid w:val="008E2566"/>
    <w:rsid w:val="008E287B"/>
    <w:rsid w:val="008E303F"/>
    <w:rsid w:val="008E586F"/>
    <w:rsid w:val="008E6F76"/>
    <w:rsid w:val="008E7124"/>
    <w:rsid w:val="008E715C"/>
    <w:rsid w:val="008F3BAE"/>
    <w:rsid w:val="008F461D"/>
    <w:rsid w:val="008F4ED1"/>
    <w:rsid w:val="008F5198"/>
    <w:rsid w:val="008F58EC"/>
    <w:rsid w:val="008F6133"/>
    <w:rsid w:val="008F6497"/>
    <w:rsid w:val="008F68F0"/>
    <w:rsid w:val="008F6E59"/>
    <w:rsid w:val="008F7014"/>
    <w:rsid w:val="008F763B"/>
    <w:rsid w:val="008F7740"/>
    <w:rsid w:val="008F7BAA"/>
    <w:rsid w:val="0090118C"/>
    <w:rsid w:val="00902504"/>
    <w:rsid w:val="0090374C"/>
    <w:rsid w:val="009038AB"/>
    <w:rsid w:val="00904719"/>
    <w:rsid w:val="00904D81"/>
    <w:rsid w:val="0090598F"/>
    <w:rsid w:val="00906085"/>
    <w:rsid w:val="00910B96"/>
    <w:rsid w:val="00912B65"/>
    <w:rsid w:val="00913700"/>
    <w:rsid w:val="009148DA"/>
    <w:rsid w:val="009154AE"/>
    <w:rsid w:val="00915ABE"/>
    <w:rsid w:val="0091675D"/>
    <w:rsid w:val="0091744E"/>
    <w:rsid w:val="0091750C"/>
    <w:rsid w:val="009206F4"/>
    <w:rsid w:val="00920FD4"/>
    <w:rsid w:val="009210D4"/>
    <w:rsid w:val="00921E87"/>
    <w:rsid w:val="00922994"/>
    <w:rsid w:val="00922D70"/>
    <w:rsid w:val="00923B28"/>
    <w:rsid w:val="00923D0B"/>
    <w:rsid w:val="00925200"/>
    <w:rsid w:val="0092686C"/>
    <w:rsid w:val="00926AF5"/>
    <w:rsid w:val="0093073A"/>
    <w:rsid w:val="00930A86"/>
    <w:rsid w:val="0093123E"/>
    <w:rsid w:val="009313FC"/>
    <w:rsid w:val="009316FF"/>
    <w:rsid w:val="00931BCA"/>
    <w:rsid w:val="00932324"/>
    <w:rsid w:val="0093236D"/>
    <w:rsid w:val="00933CCA"/>
    <w:rsid w:val="0093437D"/>
    <w:rsid w:val="00934C78"/>
    <w:rsid w:val="00937BD2"/>
    <w:rsid w:val="009408E1"/>
    <w:rsid w:val="00941E52"/>
    <w:rsid w:val="00941F24"/>
    <w:rsid w:val="00942209"/>
    <w:rsid w:val="00942404"/>
    <w:rsid w:val="00944BD4"/>
    <w:rsid w:val="009454AE"/>
    <w:rsid w:val="0094597E"/>
    <w:rsid w:val="00946FE1"/>
    <w:rsid w:val="009470B2"/>
    <w:rsid w:val="00947670"/>
    <w:rsid w:val="009479DC"/>
    <w:rsid w:val="0095029F"/>
    <w:rsid w:val="00950CDA"/>
    <w:rsid w:val="009514B1"/>
    <w:rsid w:val="00952046"/>
    <w:rsid w:val="009523DF"/>
    <w:rsid w:val="00952773"/>
    <w:rsid w:val="00955B97"/>
    <w:rsid w:val="00955E90"/>
    <w:rsid w:val="00956011"/>
    <w:rsid w:val="00956496"/>
    <w:rsid w:val="0096103A"/>
    <w:rsid w:val="00962156"/>
    <w:rsid w:val="00962C75"/>
    <w:rsid w:val="00962F67"/>
    <w:rsid w:val="0096311E"/>
    <w:rsid w:val="009637BE"/>
    <w:rsid w:val="009647A3"/>
    <w:rsid w:val="009651CB"/>
    <w:rsid w:val="009653BA"/>
    <w:rsid w:val="00965631"/>
    <w:rsid w:val="0096653B"/>
    <w:rsid w:val="009707C0"/>
    <w:rsid w:val="00970B6E"/>
    <w:rsid w:val="00970CF7"/>
    <w:rsid w:val="00971DA8"/>
    <w:rsid w:val="00973E30"/>
    <w:rsid w:val="00974433"/>
    <w:rsid w:val="00974F0A"/>
    <w:rsid w:val="00977A03"/>
    <w:rsid w:val="00977ABE"/>
    <w:rsid w:val="00977DB6"/>
    <w:rsid w:val="00977ED8"/>
    <w:rsid w:val="00981761"/>
    <w:rsid w:val="0098246F"/>
    <w:rsid w:val="009839D5"/>
    <w:rsid w:val="00984266"/>
    <w:rsid w:val="00984A8F"/>
    <w:rsid w:val="00984B91"/>
    <w:rsid w:val="00985383"/>
    <w:rsid w:val="0098606F"/>
    <w:rsid w:val="009862DC"/>
    <w:rsid w:val="00990E23"/>
    <w:rsid w:val="00991380"/>
    <w:rsid w:val="0099195E"/>
    <w:rsid w:val="00992180"/>
    <w:rsid w:val="009921BF"/>
    <w:rsid w:val="00992271"/>
    <w:rsid w:val="00992EB7"/>
    <w:rsid w:val="009933AE"/>
    <w:rsid w:val="00993543"/>
    <w:rsid w:val="0099571D"/>
    <w:rsid w:val="0099656D"/>
    <w:rsid w:val="00997B59"/>
    <w:rsid w:val="009A0FF7"/>
    <w:rsid w:val="009A1868"/>
    <w:rsid w:val="009A19A5"/>
    <w:rsid w:val="009A2A31"/>
    <w:rsid w:val="009A2F26"/>
    <w:rsid w:val="009A396F"/>
    <w:rsid w:val="009A5553"/>
    <w:rsid w:val="009A6A1B"/>
    <w:rsid w:val="009B03D3"/>
    <w:rsid w:val="009B05B5"/>
    <w:rsid w:val="009B2241"/>
    <w:rsid w:val="009B2B88"/>
    <w:rsid w:val="009B3667"/>
    <w:rsid w:val="009B518A"/>
    <w:rsid w:val="009B51A7"/>
    <w:rsid w:val="009B55C2"/>
    <w:rsid w:val="009B6906"/>
    <w:rsid w:val="009B7165"/>
    <w:rsid w:val="009B790D"/>
    <w:rsid w:val="009C0E27"/>
    <w:rsid w:val="009C26A1"/>
    <w:rsid w:val="009C32FA"/>
    <w:rsid w:val="009C4B92"/>
    <w:rsid w:val="009C5290"/>
    <w:rsid w:val="009C570B"/>
    <w:rsid w:val="009C63CE"/>
    <w:rsid w:val="009C7183"/>
    <w:rsid w:val="009C7CE0"/>
    <w:rsid w:val="009D0AA7"/>
    <w:rsid w:val="009D0D03"/>
    <w:rsid w:val="009D0FDB"/>
    <w:rsid w:val="009D152A"/>
    <w:rsid w:val="009D1FA4"/>
    <w:rsid w:val="009D262C"/>
    <w:rsid w:val="009D26D7"/>
    <w:rsid w:val="009D30CB"/>
    <w:rsid w:val="009D3CB2"/>
    <w:rsid w:val="009D42E2"/>
    <w:rsid w:val="009D46FF"/>
    <w:rsid w:val="009D503D"/>
    <w:rsid w:val="009D547B"/>
    <w:rsid w:val="009D549D"/>
    <w:rsid w:val="009E0EFD"/>
    <w:rsid w:val="009E230F"/>
    <w:rsid w:val="009E26E4"/>
    <w:rsid w:val="009E2986"/>
    <w:rsid w:val="009E479E"/>
    <w:rsid w:val="009E5C47"/>
    <w:rsid w:val="009E5F1D"/>
    <w:rsid w:val="009E6BA9"/>
    <w:rsid w:val="009E7512"/>
    <w:rsid w:val="009E7AC6"/>
    <w:rsid w:val="009E7DE4"/>
    <w:rsid w:val="009F0844"/>
    <w:rsid w:val="009F0A52"/>
    <w:rsid w:val="009F32EF"/>
    <w:rsid w:val="009F4B58"/>
    <w:rsid w:val="009F5620"/>
    <w:rsid w:val="009F5637"/>
    <w:rsid w:val="009F582B"/>
    <w:rsid w:val="009F5D1E"/>
    <w:rsid w:val="009F6507"/>
    <w:rsid w:val="009F6872"/>
    <w:rsid w:val="009F7BB7"/>
    <w:rsid w:val="00A001CC"/>
    <w:rsid w:val="00A008AB"/>
    <w:rsid w:val="00A01429"/>
    <w:rsid w:val="00A026C9"/>
    <w:rsid w:val="00A02E23"/>
    <w:rsid w:val="00A030B7"/>
    <w:rsid w:val="00A046F4"/>
    <w:rsid w:val="00A049FE"/>
    <w:rsid w:val="00A04C76"/>
    <w:rsid w:val="00A05ADF"/>
    <w:rsid w:val="00A05C0B"/>
    <w:rsid w:val="00A06E36"/>
    <w:rsid w:val="00A0705C"/>
    <w:rsid w:val="00A07346"/>
    <w:rsid w:val="00A07EF7"/>
    <w:rsid w:val="00A12449"/>
    <w:rsid w:val="00A1353B"/>
    <w:rsid w:val="00A13656"/>
    <w:rsid w:val="00A144E2"/>
    <w:rsid w:val="00A14D5A"/>
    <w:rsid w:val="00A14F0C"/>
    <w:rsid w:val="00A1530A"/>
    <w:rsid w:val="00A15927"/>
    <w:rsid w:val="00A15F3B"/>
    <w:rsid w:val="00A16A5A"/>
    <w:rsid w:val="00A16D9E"/>
    <w:rsid w:val="00A17CE4"/>
    <w:rsid w:val="00A17D1A"/>
    <w:rsid w:val="00A202AE"/>
    <w:rsid w:val="00A209A5"/>
    <w:rsid w:val="00A212AC"/>
    <w:rsid w:val="00A21F83"/>
    <w:rsid w:val="00A221F9"/>
    <w:rsid w:val="00A228C0"/>
    <w:rsid w:val="00A22CC3"/>
    <w:rsid w:val="00A24168"/>
    <w:rsid w:val="00A24DFE"/>
    <w:rsid w:val="00A25E5F"/>
    <w:rsid w:val="00A26D3D"/>
    <w:rsid w:val="00A27A61"/>
    <w:rsid w:val="00A27AC6"/>
    <w:rsid w:val="00A306BD"/>
    <w:rsid w:val="00A31222"/>
    <w:rsid w:val="00A3129F"/>
    <w:rsid w:val="00A32010"/>
    <w:rsid w:val="00A320CE"/>
    <w:rsid w:val="00A32437"/>
    <w:rsid w:val="00A324BF"/>
    <w:rsid w:val="00A32813"/>
    <w:rsid w:val="00A32B31"/>
    <w:rsid w:val="00A32F67"/>
    <w:rsid w:val="00A33A57"/>
    <w:rsid w:val="00A34E80"/>
    <w:rsid w:val="00A351FB"/>
    <w:rsid w:val="00A35D78"/>
    <w:rsid w:val="00A36431"/>
    <w:rsid w:val="00A410A3"/>
    <w:rsid w:val="00A42208"/>
    <w:rsid w:val="00A4327B"/>
    <w:rsid w:val="00A4331F"/>
    <w:rsid w:val="00A43B6F"/>
    <w:rsid w:val="00A44378"/>
    <w:rsid w:val="00A4485E"/>
    <w:rsid w:val="00A44CB8"/>
    <w:rsid w:val="00A457D5"/>
    <w:rsid w:val="00A45924"/>
    <w:rsid w:val="00A46008"/>
    <w:rsid w:val="00A47291"/>
    <w:rsid w:val="00A507C5"/>
    <w:rsid w:val="00A50ED0"/>
    <w:rsid w:val="00A51B40"/>
    <w:rsid w:val="00A51D7F"/>
    <w:rsid w:val="00A526FD"/>
    <w:rsid w:val="00A535C2"/>
    <w:rsid w:val="00A53FB5"/>
    <w:rsid w:val="00A55712"/>
    <w:rsid w:val="00A55EC2"/>
    <w:rsid w:val="00A56395"/>
    <w:rsid w:val="00A5727F"/>
    <w:rsid w:val="00A5748E"/>
    <w:rsid w:val="00A57D43"/>
    <w:rsid w:val="00A61CFA"/>
    <w:rsid w:val="00A622D1"/>
    <w:rsid w:val="00A62D0F"/>
    <w:rsid w:val="00A62EB2"/>
    <w:rsid w:val="00A632A5"/>
    <w:rsid w:val="00A6421C"/>
    <w:rsid w:val="00A64C70"/>
    <w:rsid w:val="00A66240"/>
    <w:rsid w:val="00A6639D"/>
    <w:rsid w:val="00A66CEF"/>
    <w:rsid w:val="00A66E73"/>
    <w:rsid w:val="00A702F2"/>
    <w:rsid w:val="00A715C0"/>
    <w:rsid w:val="00A717FB"/>
    <w:rsid w:val="00A71852"/>
    <w:rsid w:val="00A71B6D"/>
    <w:rsid w:val="00A728CF"/>
    <w:rsid w:val="00A73FB7"/>
    <w:rsid w:val="00A75F59"/>
    <w:rsid w:val="00A77131"/>
    <w:rsid w:val="00A777B7"/>
    <w:rsid w:val="00A77BBE"/>
    <w:rsid w:val="00A812EE"/>
    <w:rsid w:val="00A817D4"/>
    <w:rsid w:val="00A81B8C"/>
    <w:rsid w:val="00A8351E"/>
    <w:rsid w:val="00A83C17"/>
    <w:rsid w:val="00A844D4"/>
    <w:rsid w:val="00A85039"/>
    <w:rsid w:val="00A85167"/>
    <w:rsid w:val="00A85664"/>
    <w:rsid w:val="00A85BC4"/>
    <w:rsid w:val="00A86104"/>
    <w:rsid w:val="00A86EFB"/>
    <w:rsid w:val="00A87D64"/>
    <w:rsid w:val="00A9044F"/>
    <w:rsid w:val="00A91B09"/>
    <w:rsid w:val="00A91E00"/>
    <w:rsid w:val="00A91EE7"/>
    <w:rsid w:val="00A9230C"/>
    <w:rsid w:val="00A9496A"/>
    <w:rsid w:val="00A954BC"/>
    <w:rsid w:val="00A96A28"/>
    <w:rsid w:val="00A96B0C"/>
    <w:rsid w:val="00A975F9"/>
    <w:rsid w:val="00A97DF9"/>
    <w:rsid w:val="00AA3303"/>
    <w:rsid w:val="00AA38AB"/>
    <w:rsid w:val="00AA3ADC"/>
    <w:rsid w:val="00AA415B"/>
    <w:rsid w:val="00AA4DC7"/>
    <w:rsid w:val="00AA50F8"/>
    <w:rsid w:val="00AA5168"/>
    <w:rsid w:val="00AA551C"/>
    <w:rsid w:val="00AA65BC"/>
    <w:rsid w:val="00AA687B"/>
    <w:rsid w:val="00AA6C60"/>
    <w:rsid w:val="00AA7C56"/>
    <w:rsid w:val="00AB04B8"/>
    <w:rsid w:val="00AB192C"/>
    <w:rsid w:val="00AB24BC"/>
    <w:rsid w:val="00AB25A7"/>
    <w:rsid w:val="00AB27EF"/>
    <w:rsid w:val="00AB3020"/>
    <w:rsid w:val="00AB30C5"/>
    <w:rsid w:val="00AB3F61"/>
    <w:rsid w:val="00AB44D3"/>
    <w:rsid w:val="00AB533C"/>
    <w:rsid w:val="00AB6BF6"/>
    <w:rsid w:val="00AB7274"/>
    <w:rsid w:val="00AB7375"/>
    <w:rsid w:val="00AB763A"/>
    <w:rsid w:val="00AB7ACD"/>
    <w:rsid w:val="00AC193F"/>
    <w:rsid w:val="00AC27AA"/>
    <w:rsid w:val="00AC5691"/>
    <w:rsid w:val="00AC5C00"/>
    <w:rsid w:val="00AC7AAD"/>
    <w:rsid w:val="00AC7D49"/>
    <w:rsid w:val="00AD0F59"/>
    <w:rsid w:val="00AD1431"/>
    <w:rsid w:val="00AD1883"/>
    <w:rsid w:val="00AD1D35"/>
    <w:rsid w:val="00AD2611"/>
    <w:rsid w:val="00AD2CE9"/>
    <w:rsid w:val="00AD2F7D"/>
    <w:rsid w:val="00AD3D94"/>
    <w:rsid w:val="00AD4EC5"/>
    <w:rsid w:val="00AD55A9"/>
    <w:rsid w:val="00AD562A"/>
    <w:rsid w:val="00AD74B2"/>
    <w:rsid w:val="00AD7D74"/>
    <w:rsid w:val="00AE04BC"/>
    <w:rsid w:val="00AE1309"/>
    <w:rsid w:val="00AE1B43"/>
    <w:rsid w:val="00AE2398"/>
    <w:rsid w:val="00AE2729"/>
    <w:rsid w:val="00AF0FC6"/>
    <w:rsid w:val="00AF14A8"/>
    <w:rsid w:val="00AF1CBD"/>
    <w:rsid w:val="00AF226C"/>
    <w:rsid w:val="00AF25DB"/>
    <w:rsid w:val="00AF2C5B"/>
    <w:rsid w:val="00AF2EB7"/>
    <w:rsid w:val="00AF3624"/>
    <w:rsid w:val="00AF3863"/>
    <w:rsid w:val="00AF3A95"/>
    <w:rsid w:val="00AF3E9E"/>
    <w:rsid w:val="00AF5085"/>
    <w:rsid w:val="00AF5507"/>
    <w:rsid w:val="00AF59A5"/>
    <w:rsid w:val="00AF5AF0"/>
    <w:rsid w:val="00AF6C56"/>
    <w:rsid w:val="00AF6E73"/>
    <w:rsid w:val="00AF710E"/>
    <w:rsid w:val="00AF7302"/>
    <w:rsid w:val="00B0027F"/>
    <w:rsid w:val="00B0089B"/>
    <w:rsid w:val="00B00A2B"/>
    <w:rsid w:val="00B00AA7"/>
    <w:rsid w:val="00B00CCE"/>
    <w:rsid w:val="00B02131"/>
    <w:rsid w:val="00B02C5E"/>
    <w:rsid w:val="00B03226"/>
    <w:rsid w:val="00B039C1"/>
    <w:rsid w:val="00B040B3"/>
    <w:rsid w:val="00B0442E"/>
    <w:rsid w:val="00B05187"/>
    <w:rsid w:val="00B0557E"/>
    <w:rsid w:val="00B05A51"/>
    <w:rsid w:val="00B05F3C"/>
    <w:rsid w:val="00B06E5B"/>
    <w:rsid w:val="00B07B38"/>
    <w:rsid w:val="00B12470"/>
    <w:rsid w:val="00B124CE"/>
    <w:rsid w:val="00B12863"/>
    <w:rsid w:val="00B13AAD"/>
    <w:rsid w:val="00B15F0C"/>
    <w:rsid w:val="00B164A0"/>
    <w:rsid w:val="00B16D5A"/>
    <w:rsid w:val="00B17590"/>
    <w:rsid w:val="00B205D4"/>
    <w:rsid w:val="00B2068A"/>
    <w:rsid w:val="00B212C3"/>
    <w:rsid w:val="00B22EAF"/>
    <w:rsid w:val="00B23307"/>
    <w:rsid w:val="00B233F0"/>
    <w:rsid w:val="00B238BD"/>
    <w:rsid w:val="00B23CD0"/>
    <w:rsid w:val="00B23F90"/>
    <w:rsid w:val="00B24DB3"/>
    <w:rsid w:val="00B250BD"/>
    <w:rsid w:val="00B26609"/>
    <w:rsid w:val="00B26C83"/>
    <w:rsid w:val="00B26CFC"/>
    <w:rsid w:val="00B27A18"/>
    <w:rsid w:val="00B27A95"/>
    <w:rsid w:val="00B302C3"/>
    <w:rsid w:val="00B304EF"/>
    <w:rsid w:val="00B307E6"/>
    <w:rsid w:val="00B30A18"/>
    <w:rsid w:val="00B30B59"/>
    <w:rsid w:val="00B33917"/>
    <w:rsid w:val="00B33B3D"/>
    <w:rsid w:val="00B33C77"/>
    <w:rsid w:val="00B34A95"/>
    <w:rsid w:val="00B36CDE"/>
    <w:rsid w:val="00B37A99"/>
    <w:rsid w:val="00B37E46"/>
    <w:rsid w:val="00B40B87"/>
    <w:rsid w:val="00B40E3A"/>
    <w:rsid w:val="00B43AFA"/>
    <w:rsid w:val="00B45766"/>
    <w:rsid w:val="00B46148"/>
    <w:rsid w:val="00B47FC3"/>
    <w:rsid w:val="00B510A7"/>
    <w:rsid w:val="00B5151A"/>
    <w:rsid w:val="00B51B5C"/>
    <w:rsid w:val="00B51E07"/>
    <w:rsid w:val="00B53CAA"/>
    <w:rsid w:val="00B54C7A"/>
    <w:rsid w:val="00B5689A"/>
    <w:rsid w:val="00B56D00"/>
    <w:rsid w:val="00B576A8"/>
    <w:rsid w:val="00B577C6"/>
    <w:rsid w:val="00B578DB"/>
    <w:rsid w:val="00B57A2C"/>
    <w:rsid w:val="00B611D7"/>
    <w:rsid w:val="00B612AA"/>
    <w:rsid w:val="00B638A6"/>
    <w:rsid w:val="00B65284"/>
    <w:rsid w:val="00B65896"/>
    <w:rsid w:val="00B67B06"/>
    <w:rsid w:val="00B67E83"/>
    <w:rsid w:val="00B70A57"/>
    <w:rsid w:val="00B712D6"/>
    <w:rsid w:val="00B71523"/>
    <w:rsid w:val="00B72B77"/>
    <w:rsid w:val="00B732CE"/>
    <w:rsid w:val="00B746D0"/>
    <w:rsid w:val="00B7482C"/>
    <w:rsid w:val="00B74C4B"/>
    <w:rsid w:val="00B75EF4"/>
    <w:rsid w:val="00B769F1"/>
    <w:rsid w:val="00B77106"/>
    <w:rsid w:val="00B77E31"/>
    <w:rsid w:val="00B8086B"/>
    <w:rsid w:val="00B81D5B"/>
    <w:rsid w:val="00B8245F"/>
    <w:rsid w:val="00B82C80"/>
    <w:rsid w:val="00B82CC8"/>
    <w:rsid w:val="00B830A3"/>
    <w:rsid w:val="00B830EE"/>
    <w:rsid w:val="00B85778"/>
    <w:rsid w:val="00B85FDE"/>
    <w:rsid w:val="00B8638C"/>
    <w:rsid w:val="00B87697"/>
    <w:rsid w:val="00B87A4B"/>
    <w:rsid w:val="00B87E3C"/>
    <w:rsid w:val="00B90586"/>
    <w:rsid w:val="00B9086B"/>
    <w:rsid w:val="00B90B1C"/>
    <w:rsid w:val="00B920CA"/>
    <w:rsid w:val="00B92BF0"/>
    <w:rsid w:val="00B92DF7"/>
    <w:rsid w:val="00B93D98"/>
    <w:rsid w:val="00B93E67"/>
    <w:rsid w:val="00B94585"/>
    <w:rsid w:val="00B94AAD"/>
    <w:rsid w:val="00B95C03"/>
    <w:rsid w:val="00B964B7"/>
    <w:rsid w:val="00B96EBE"/>
    <w:rsid w:val="00B96F8B"/>
    <w:rsid w:val="00B97692"/>
    <w:rsid w:val="00BA02B9"/>
    <w:rsid w:val="00BA0C10"/>
    <w:rsid w:val="00BA1165"/>
    <w:rsid w:val="00BA1771"/>
    <w:rsid w:val="00BA271A"/>
    <w:rsid w:val="00BA4FEE"/>
    <w:rsid w:val="00BA52B7"/>
    <w:rsid w:val="00BA5605"/>
    <w:rsid w:val="00BA5BC9"/>
    <w:rsid w:val="00BA791E"/>
    <w:rsid w:val="00BA7F84"/>
    <w:rsid w:val="00BB10C5"/>
    <w:rsid w:val="00BB1113"/>
    <w:rsid w:val="00BB1499"/>
    <w:rsid w:val="00BB28D1"/>
    <w:rsid w:val="00BB3DBB"/>
    <w:rsid w:val="00BB665D"/>
    <w:rsid w:val="00BB6F5B"/>
    <w:rsid w:val="00BC0451"/>
    <w:rsid w:val="00BC104F"/>
    <w:rsid w:val="00BC1492"/>
    <w:rsid w:val="00BC1D3A"/>
    <w:rsid w:val="00BC2035"/>
    <w:rsid w:val="00BC2161"/>
    <w:rsid w:val="00BC316A"/>
    <w:rsid w:val="00BC452E"/>
    <w:rsid w:val="00BC5080"/>
    <w:rsid w:val="00BC58CB"/>
    <w:rsid w:val="00BC60E7"/>
    <w:rsid w:val="00BC7183"/>
    <w:rsid w:val="00BC793B"/>
    <w:rsid w:val="00BD047C"/>
    <w:rsid w:val="00BD1F86"/>
    <w:rsid w:val="00BD38FB"/>
    <w:rsid w:val="00BD560F"/>
    <w:rsid w:val="00BD63C4"/>
    <w:rsid w:val="00BD6653"/>
    <w:rsid w:val="00BE107C"/>
    <w:rsid w:val="00BE1B8C"/>
    <w:rsid w:val="00BE1CF4"/>
    <w:rsid w:val="00BE2BEC"/>
    <w:rsid w:val="00BE3274"/>
    <w:rsid w:val="00BE36CC"/>
    <w:rsid w:val="00BE4BF0"/>
    <w:rsid w:val="00BE6A27"/>
    <w:rsid w:val="00BE735F"/>
    <w:rsid w:val="00BE7971"/>
    <w:rsid w:val="00BE7A24"/>
    <w:rsid w:val="00BF13E3"/>
    <w:rsid w:val="00BF2863"/>
    <w:rsid w:val="00BF2A97"/>
    <w:rsid w:val="00BF30C8"/>
    <w:rsid w:val="00BF32A5"/>
    <w:rsid w:val="00BF5B0C"/>
    <w:rsid w:val="00BF7016"/>
    <w:rsid w:val="00BF712C"/>
    <w:rsid w:val="00BF788E"/>
    <w:rsid w:val="00BF7C25"/>
    <w:rsid w:val="00BF7F3F"/>
    <w:rsid w:val="00BF7FD2"/>
    <w:rsid w:val="00C002A7"/>
    <w:rsid w:val="00C00A16"/>
    <w:rsid w:val="00C01334"/>
    <w:rsid w:val="00C01B73"/>
    <w:rsid w:val="00C02197"/>
    <w:rsid w:val="00C02F21"/>
    <w:rsid w:val="00C0349A"/>
    <w:rsid w:val="00C03D5B"/>
    <w:rsid w:val="00C0432B"/>
    <w:rsid w:val="00C04C8E"/>
    <w:rsid w:val="00C053F9"/>
    <w:rsid w:val="00C054CD"/>
    <w:rsid w:val="00C05505"/>
    <w:rsid w:val="00C05908"/>
    <w:rsid w:val="00C05947"/>
    <w:rsid w:val="00C06AA5"/>
    <w:rsid w:val="00C073BD"/>
    <w:rsid w:val="00C0797E"/>
    <w:rsid w:val="00C10BA2"/>
    <w:rsid w:val="00C10D3E"/>
    <w:rsid w:val="00C1221C"/>
    <w:rsid w:val="00C12240"/>
    <w:rsid w:val="00C123EF"/>
    <w:rsid w:val="00C141FD"/>
    <w:rsid w:val="00C14A6E"/>
    <w:rsid w:val="00C15418"/>
    <w:rsid w:val="00C15E5F"/>
    <w:rsid w:val="00C17182"/>
    <w:rsid w:val="00C1748A"/>
    <w:rsid w:val="00C177BD"/>
    <w:rsid w:val="00C1780D"/>
    <w:rsid w:val="00C17C21"/>
    <w:rsid w:val="00C203A9"/>
    <w:rsid w:val="00C21277"/>
    <w:rsid w:val="00C212BE"/>
    <w:rsid w:val="00C212FB"/>
    <w:rsid w:val="00C213EB"/>
    <w:rsid w:val="00C226AF"/>
    <w:rsid w:val="00C232C1"/>
    <w:rsid w:val="00C23A24"/>
    <w:rsid w:val="00C249E8"/>
    <w:rsid w:val="00C24BA0"/>
    <w:rsid w:val="00C24EEF"/>
    <w:rsid w:val="00C25B8E"/>
    <w:rsid w:val="00C2720F"/>
    <w:rsid w:val="00C27850"/>
    <w:rsid w:val="00C27CBF"/>
    <w:rsid w:val="00C27E5D"/>
    <w:rsid w:val="00C30E4C"/>
    <w:rsid w:val="00C32D41"/>
    <w:rsid w:val="00C3620E"/>
    <w:rsid w:val="00C3644B"/>
    <w:rsid w:val="00C36C5E"/>
    <w:rsid w:val="00C37113"/>
    <w:rsid w:val="00C400CA"/>
    <w:rsid w:val="00C4086F"/>
    <w:rsid w:val="00C40D36"/>
    <w:rsid w:val="00C4240B"/>
    <w:rsid w:val="00C42A85"/>
    <w:rsid w:val="00C439B7"/>
    <w:rsid w:val="00C439C6"/>
    <w:rsid w:val="00C44200"/>
    <w:rsid w:val="00C4473E"/>
    <w:rsid w:val="00C44EFD"/>
    <w:rsid w:val="00C44F1B"/>
    <w:rsid w:val="00C4539E"/>
    <w:rsid w:val="00C4549A"/>
    <w:rsid w:val="00C4563B"/>
    <w:rsid w:val="00C46A15"/>
    <w:rsid w:val="00C46A37"/>
    <w:rsid w:val="00C46C09"/>
    <w:rsid w:val="00C46C97"/>
    <w:rsid w:val="00C47B07"/>
    <w:rsid w:val="00C47B6E"/>
    <w:rsid w:val="00C5020C"/>
    <w:rsid w:val="00C515BF"/>
    <w:rsid w:val="00C517F1"/>
    <w:rsid w:val="00C51D26"/>
    <w:rsid w:val="00C52B14"/>
    <w:rsid w:val="00C54096"/>
    <w:rsid w:val="00C542D6"/>
    <w:rsid w:val="00C542FE"/>
    <w:rsid w:val="00C57456"/>
    <w:rsid w:val="00C579AA"/>
    <w:rsid w:val="00C6043D"/>
    <w:rsid w:val="00C60CE7"/>
    <w:rsid w:val="00C60D13"/>
    <w:rsid w:val="00C616D4"/>
    <w:rsid w:val="00C62BFD"/>
    <w:rsid w:val="00C62FF1"/>
    <w:rsid w:val="00C63102"/>
    <w:rsid w:val="00C6583C"/>
    <w:rsid w:val="00C66360"/>
    <w:rsid w:val="00C668B5"/>
    <w:rsid w:val="00C6744D"/>
    <w:rsid w:val="00C67C54"/>
    <w:rsid w:val="00C70446"/>
    <w:rsid w:val="00C70975"/>
    <w:rsid w:val="00C70B2E"/>
    <w:rsid w:val="00C70DA4"/>
    <w:rsid w:val="00C720AF"/>
    <w:rsid w:val="00C731A0"/>
    <w:rsid w:val="00C73B18"/>
    <w:rsid w:val="00C74066"/>
    <w:rsid w:val="00C7438E"/>
    <w:rsid w:val="00C74E45"/>
    <w:rsid w:val="00C75261"/>
    <w:rsid w:val="00C752A8"/>
    <w:rsid w:val="00C75471"/>
    <w:rsid w:val="00C75E69"/>
    <w:rsid w:val="00C7694D"/>
    <w:rsid w:val="00C76C34"/>
    <w:rsid w:val="00C7721C"/>
    <w:rsid w:val="00C774FB"/>
    <w:rsid w:val="00C77BE6"/>
    <w:rsid w:val="00C801D1"/>
    <w:rsid w:val="00C8089E"/>
    <w:rsid w:val="00C8180C"/>
    <w:rsid w:val="00C81A61"/>
    <w:rsid w:val="00C83418"/>
    <w:rsid w:val="00C83E08"/>
    <w:rsid w:val="00C847F7"/>
    <w:rsid w:val="00C867BE"/>
    <w:rsid w:val="00C8685A"/>
    <w:rsid w:val="00C90830"/>
    <w:rsid w:val="00C90BA9"/>
    <w:rsid w:val="00C90CA7"/>
    <w:rsid w:val="00C90EF5"/>
    <w:rsid w:val="00C92E9B"/>
    <w:rsid w:val="00C95378"/>
    <w:rsid w:val="00C95D90"/>
    <w:rsid w:val="00C97ABC"/>
    <w:rsid w:val="00CA0FB6"/>
    <w:rsid w:val="00CA2976"/>
    <w:rsid w:val="00CA302C"/>
    <w:rsid w:val="00CA311B"/>
    <w:rsid w:val="00CA39D9"/>
    <w:rsid w:val="00CA43B7"/>
    <w:rsid w:val="00CA539D"/>
    <w:rsid w:val="00CA5922"/>
    <w:rsid w:val="00CA6291"/>
    <w:rsid w:val="00CA7D5E"/>
    <w:rsid w:val="00CA7E3E"/>
    <w:rsid w:val="00CB38B6"/>
    <w:rsid w:val="00CB551E"/>
    <w:rsid w:val="00CB5886"/>
    <w:rsid w:val="00CB5AFD"/>
    <w:rsid w:val="00CB5B0C"/>
    <w:rsid w:val="00CB5FBB"/>
    <w:rsid w:val="00CB6240"/>
    <w:rsid w:val="00CC0172"/>
    <w:rsid w:val="00CC0469"/>
    <w:rsid w:val="00CC1F09"/>
    <w:rsid w:val="00CC1F28"/>
    <w:rsid w:val="00CC21B0"/>
    <w:rsid w:val="00CC30A1"/>
    <w:rsid w:val="00CC521D"/>
    <w:rsid w:val="00CC540F"/>
    <w:rsid w:val="00CC74D3"/>
    <w:rsid w:val="00CD00BA"/>
    <w:rsid w:val="00CD07A4"/>
    <w:rsid w:val="00CD1D26"/>
    <w:rsid w:val="00CD1FD9"/>
    <w:rsid w:val="00CD2ABB"/>
    <w:rsid w:val="00CD3076"/>
    <w:rsid w:val="00CD37B8"/>
    <w:rsid w:val="00CD3C06"/>
    <w:rsid w:val="00CD4F82"/>
    <w:rsid w:val="00CD6C7E"/>
    <w:rsid w:val="00CD6CC0"/>
    <w:rsid w:val="00CD77B3"/>
    <w:rsid w:val="00CE0E68"/>
    <w:rsid w:val="00CE1626"/>
    <w:rsid w:val="00CE19C5"/>
    <w:rsid w:val="00CE2AF8"/>
    <w:rsid w:val="00CE3B58"/>
    <w:rsid w:val="00CE3D02"/>
    <w:rsid w:val="00CE44B8"/>
    <w:rsid w:val="00CE541D"/>
    <w:rsid w:val="00CE7B41"/>
    <w:rsid w:val="00CF0B36"/>
    <w:rsid w:val="00CF1C0E"/>
    <w:rsid w:val="00CF2866"/>
    <w:rsid w:val="00CF311B"/>
    <w:rsid w:val="00CF5489"/>
    <w:rsid w:val="00CF59EB"/>
    <w:rsid w:val="00CF5CC7"/>
    <w:rsid w:val="00CF62E6"/>
    <w:rsid w:val="00CF7304"/>
    <w:rsid w:val="00D0057A"/>
    <w:rsid w:val="00D00D30"/>
    <w:rsid w:val="00D032CC"/>
    <w:rsid w:val="00D03328"/>
    <w:rsid w:val="00D03892"/>
    <w:rsid w:val="00D04966"/>
    <w:rsid w:val="00D06495"/>
    <w:rsid w:val="00D0789B"/>
    <w:rsid w:val="00D07B15"/>
    <w:rsid w:val="00D10FCF"/>
    <w:rsid w:val="00D11655"/>
    <w:rsid w:val="00D12DAB"/>
    <w:rsid w:val="00D1359C"/>
    <w:rsid w:val="00D135A6"/>
    <w:rsid w:val="00D13A6F"/>
    <w:rsid w:val="00D14711"/>
    <w:rsid w:val="00D148FA"/>
    <w:rsid w:val="00D160C0"/>
    <w:rsid w:val="00D16E26"/>
    <w:rsid w:val="00D173B0"/>
    <w:rsid w:val="00D2007D"/>
    <w:rsid w:val="00D20446"/>
    <w:rsid w:val="00D20B83"/>
    <w:rsid w:val="00D20FCE"/>
    <w:rsid w:val="00D23B0F"/>
    <w:rsid w:val="00D23D7F"/>
    <w:rsid w:val="00D24206"/>
    <w:rsid w:val="00D26255"/>
    <w:rsid w:val="00D30266"/>
    <w:rsid w:val="00D3032D"/>
    <w:rsid w:val="00D32080"/>
    <w:rsid w:val="00D338F9"/>
    <w:rsid w:val="00D353F9"/>
    <w:rsid w:val="00D41245"/>
    <w:rsid w:val="00D415F7"/>
    <w:rsid w:val="00D41724"/>
    <w:rsid w:val="00D42C4D"/>
    <w:rsid w:val="00D4471A"/>
    <w:rsid w:val="00D44B8D"/>
    <w:rsid w:val="00D44E47"/>
    <w:rsid w:val="00D500EB"/>
    <w:rsid w:val="00D508B8"/>
    <w:rsid w:val="00D52B9C"/>
    <w:rsid w:val="00D5377A"/>
    <w:rsid w:val="00D539DC"/>
    <w:rsid w:val="00D53C79"/>
    <w:rsid w:val="00D53E31"/>
    <w:rsid w:val="00D54E0C"/>
    <w:rsid w:val="00D56ED4"/>
    <w:rsid w:val="00D575D6"/>
    <w:rsid w:val="00D577FD"/>
    <w:rsid w:val="00D601F0"/>
    <w:rsid w:val="00D607A4"/>
    <w:rsid w:val="00D61E62"/>
    <w:rsid w:val="00D62BF2"/>
    <w:rsid w:val="00D634EC"/>
    <w:rsid w:val="00D63B20"/>
    <w:rsid w:val="00D641BA"/>
    <w:rsid w:val="00D64492"/>
    <w:rsid w:val="00D658B5"/>
    <w:rsid w:val="00D65E8B"/>
    <w:rsid w:val="00D664DC"/>
    <w:rsid w:val="00D66557"/>
    <w:rsid w:val="00D66871"/>
    <w:rsid w:val="00D66CC3"/>
    <w:rsid w:val="00D67C0A"/>
    <w:rsid w:val="00D7195F"/>
    <w:rsid w:val="00D721CF"/>
    <w:rsid w:val="00D733E8"/>
    <w:rsid w:val="00D739E2"/>
    <w:rsid w:val="00D73EC3"/>
    <w:rsid w:val="00D74603"/>
    <w:rsid w:val="00D75090"/>
    <w:rsid w:val="00D752B1"/>
    <w:rsid w:val="00D756C2"/>
    <w:rsid w:val="00D75EB5"/>
    <w:rsid w:val="00D76108"/>
    <w:rsid w:val="00D76287"/>
    <w:rsid w:val="00D763C2"/>
    <w:rsid w:val="00D77D5F"/>
    <w:rsid w:val="00D77E48"/>
    <w:rsid w:val="00D8123B"/>
    <w:rsid w:val="00D816E4"/>
    <w:rsid w:val="00D81E13"/>
    <w:rsid w:val="00D81F5F"/>
    <w:rsid w:val="00D82929"/>
    <w:rsid w:val="00D83656"/>
    <w:rsid w:val="00D838DF"/>
    <w:rsid w:val="00D84B3C"/>
    <w:rsid w:val="00D84CF4"/>
    <w:rsid w:val="00D852DD"/>
    <w:rsid w:val="00D862C9"/>
    <w:rsid w:val="00D86BBF"/>
    <w:rsid w:val="00D876F0"/>
    <w:rsid w:val="00D87987"/>
    <w:rsid w:val="00D904AB"/>
    <w:rsid w:val="00D90650"/>
    <w:rsid w:val="00D9065B"/>
    <w:rsid w:val="00D9095D"/>
    <w:rsid w:val="00D90E97"/>
    <w:rsid w:val="00D9147D"/>
    <w:rsid w:val="00D91EE7"/>
    <w:rsid w:val="00D925BD"/>
    <w:rsid w:val="00D92F76"/>
    <w:rsid w:val="00D949C9"/>
    <w:rsid w:val="00D95303"/>
    <w:rsid w:val="00D95AD5"/>
    <w:rsid w:val="00DA08BE"/>
    <w:rsid w:val="00DA0A09"/>
    <w:rsid w:val="00DA1560"/>
    <w:rsid w:val="00DA1C49"/>
    <w:rsid w:val="00DA1FFD"/>
    <w:rsid w:val="00DA304F"/>
    <w:rsid w:val="00DA3693"/>
    <w:rsid w:val="00DA4DDA"/>
    <w:rsid w:val="00DA546B"/>
    <w:rsid w:val="00DA6462"/>
    <w:rsid w:val="00DA660F"/>
    <w:rsid w:val="00DA6B5A"/>
    <w:rsid w:val="00DA6BC1"/>
    <w:rsid w:val="00DA74D2"/>
    <w:rsid w:val="00DB07C2"/>
    <w:rsid w:val="00DB0F15"/>
    <w:rsid w:val="00DB292E"/>
    <w:rsid w:val="00DB34C9"/>
    <w:rsid w:val="00DB556D"/>
    <w:rsid w:val="00DB6936"/>
    <w:rsid w:val="00DB7927"/>
    <w:rsid w:val="00DB7B87"/>
    <w:rsid w:val="00DC0A55"/>
    <w:rsid w:val="00DC1C12"/>
    <w:rsid w:val="00DC25A3"/>
    <w:rsid w:val="00DC4B98"/>
    <w:rsid w:val="00DC5A5B"/>
    <w:rsid w:val="00DC6DA9"/>
    <w:rsid w:val="00DC6E86"/>
    <w:rsid w:val="00DD0750"/>
    <w:rsid w:val="00DD0C81"/>
    <w:rsid w:val="00DD1A32"/>
    <w:rsid w:val="00DD1F58"/>
    <w:rsid w:val="00DD38A2"/>
    <w:rsid w:val="00DD3CF1"/>
    <w:rsid w:val="00DD5020"/>
    <w:rsid w:val="00DD5188"/>
    <w:rsid w:val="00DD5A3F"/>
    <w:rsid w:val="00DD5C6D"/>
    <w:rsid w:val="00DD6C11"/>
    <w:rsid w:val="00DD6FAF"/>
    <w:rsid w:val="00DD78F2"/>
    <w:rsid w:val="00DD7F46"/>
    <w:rsid w:val="00DE00FD"/>
    <w:rsid w:val="00DE193B"/>
    <w:rsid w:val="00DE1AF0"/>
    <w:rsid w:val="00DE41B0"/>
    <w:rsid w:val="00DE45DD"/>
    <w:rsid w:val="00DE4A83"/>
    <w:rsid w:val="00DE60DA"/>
    <w:rsid w:val="00DF0959"/>
    <w:rsid w:val="00DF0B8D"/>
    <w:rsid w:val="00DF0CE3"/>
    <w:rsid w:val="00DF1A8E"/>
    <w:rsid w:val="00DF2DA3"/>
    <w:rsid w:val="00DF63FC"/>
    <w:rsid w:val="00DF6601"/>
    <w:rsid w:val="00DF69C9"/>
    <w:rsid w:val="00DF7D64"/>
    <w:rsid w:val="00E01173"/>
    <w:rsid w:val="00E03287"/>
    <w:rsid w:val="00E0376E"/>
    <w:rsid w:val="00E03995"/>
    <w:rsid w:val="00E0466C"/>
    <w:rsid w:val="00E0474F"/>
    <w:rsid w:val="00E07427"/>
    <w:rsid w:val="00E10D8B"/>
    <w:rsid w:val="00E124C3"/>
    <w:rsid w:val="00E14121"/>
    <w:rsid w:val="00E150F4"/>
    <w:rsid w:val="00E15676"/>
    <w:rsid w:val="00E156F1"/>
    <w:rsid w:val="00E164BB"/>
    <w:rsid w:val="00E17C0C"/>
    <w:rsid w:val="00E17F7F"/>
    <w:rsid w:val="00E20347"/>
    <w:rsid w:val="00E20A54"/>
    <w:rsid w:val="00E20C00"/>
    <w:rsid w:val="00E2201E"/>
    <w:rsid w:val="00E222CC"/>
    <w:rsid w:val="00E22A39"/>
    <w:rsid w:val="00E22A4E"/>
    <w:rsid w:val="00E22E66"/>
    <w:rsid w:val="00E239B0"/>
    <w:rsid w:val="00E24108"/>
    <w:rsid w:val="00E244C3"/>
    <w:rsid w:val="00E245BA"/>
    <w:rsid w:val="00E257D1"/>
    <w:rsid w:val="00E25CC9"/>
    <w:rsid w:val="00E262F6"/>
    <w:rsid w:val="00E26669"/>
    <w:rsid w:val="00E2668B"/>
    <w:rsid w:val="00E268D2"/>
    <w:rsid w:val="00E27375"/>
    <w:rsid w:val="00E27478"/>
    <w:rsid w:val="00E27D6A"/>
    <w:rsid w:val="00E306CE"/>
    <w:rsid w:val="00E30774"/>
    <w:rsid w:val="00E31FA2"/>
    <w:rsid w:val="00E33259"/>
    <w:rsid w:val="00E34952"/>
    <w:rsid w:val="00E3563E"/>
    <w:rsid w:val="00E35DD1"/>
    <w:rsid w:val="00E36A11"/>
    <w:rsid w:val="00E36BAF"/>
    <w:rsid w:val="00E37145"/>
    <w:rsid w:val="00E373A5"/>
    <w:rsid w:val="00E3746D"/>
    <w:rsid w:val="00E40BCB"/>
    <w:rsid w:val="00E415C5"/>
    <w:rsid w:val="00E41C89"/>
    <w:rsid w:val="00E41EFF"/>
    <w:rsid w:val="00E425A7"/>
    <w:rsid w:val="00E427C0"/>
    <w:rsid w:val="00E42E08"/>
    <w:rsid w:val="00E42FEA"/>
    <w:rsid w:val="00E43FA0"/>
    <w:rsid w:val="00E46527"/>
    <w:rsid w:val="00E4764A"/>
    <w:rsid w:val="00E5063F"/>
    <w:rsid w:val="00E50776"/>
    <w:rsid w:val="00E52955"/>
    <w:rsid w:val="00E5451C"/>
    <w:rsid w:val="00E54A0C"/>
    <w:rsid w:val="00E55313"/>
    <w:rsid w:val="00E5536F"/>
    <w:rsid w:val="00E55EF6"/>
    <w:rsid w:val="00E55FAC"/>
    <w:rsid w:val="00E5643E"/>
    <w:rsid w:val="00E5696D"/>
    <w:rsid w:val="00E60088"/>
    <w:rsid w:val="00E6089D"/>
    <w:rsid w:val="00E613BB"/>
    <w:rsid w:val="00E617EA"/>
    <w:rsid w:val="00E62BA7"/>
    <w:rsid w:val="00E64228"/>
    <w:rsid w:val="00E64E81"/>
    <w:rsid w:val="00E66136"/>
    <w:rsid w:val="00E6623D"/>
    <w:rsid w:val="00E66DFE"/>
    <w:rsid w:val="00E67214"/>
    <w:rsid w:val="00E710B3"/>
    <w:rsid w:val="00E7125C"/>
    <w:rsid w:val="00E715F0"/>
    <w:rsid w:val="00E71A85"/>
    <w:rsid w:val="00E73E85"/>
    <w:rsid w:val="00E73FB9"/>
    <w:rsid w:val="00E7414B"/>
    <w:rsid w:val="00E74151"/>
    <w:rsid w:val="00E76600"/>
    <w:rsid w:val="00E76B5E"/>
    <w:rsid w:val="00E76FD6"/>
    <w:rsid w:val="00E7774E"/>
    <w:rsid w:val="00E8114D"/>
    <w:rsid w:val="00E811C2"/>
    <w:rsid w:val="00E83161"/>
    <w:rsid w:val="00E844B5"/>
    <w:rsid w:val="00E84D8A"/>
    <w:rsid w:val="00E85A8F"/>
    <w:rsid w:val="00E8622A"/>
    <w:rsid w:val="00E90913"/>
    <w:rsid w:val="00E912DC"/>
    <w:rsid w:val="00E914D2"/>
    <w:rsid w:val="00E9314B"/>
    <w:rsid w:val="00E93793"/>
    <w:rsid w:val="00E95BFF"/>
    <w:rsid w:val="00E95E7E"/>
    <w:rsid w:val="00E9685F"/>
    <w:rsid w:val="00E97303"/>
    <w:rsid w:val="00E97591"/>
    <w:rsid w:val="00E9795D"/>
    <w:rsid w:val="00EA0BC0"/>
    <w:rsid w:val="00EA29E8"/>
    <w:rsid w:val="00EA2CEA"/>
    <w:rsid w:val="00EA3084"/>
    <w:rsid w:val="00EA31B4"/>
    <w:rsid w:val="00EA3487"/>
    <w:rsid w:val="00EA373E"/>
    <w:rsid w:val="00EA39F6"/>
    <w:rsid w:val="00EA485C"/>
    <w:rsid w:val="00EA65F5"/>
    <w:rsid w:val="00EA6B7F"/>
    <w:rsid w:val="00EB18F5"/>
    <w:rsid w:val="00EB2A7B"/>
    <w:rsid w:val="00EB376F"/>
    <w:rsid w:val="00EB3AE5"/>
    <w:rsid w:val="00EB3CC3"/>
    <w:rsid w:val="00EB4556"/>
    <w:rsid w:val="00EB4FE5"/>
    <w:rsid w:val="00EB5936"/>
    <w:rsid w:val="00EB60A4"/>
    <w:rsid w:val="00EB756B"/>
    <w:rsid w:val="00EB75E9"/>
    <w:rsid w:val="00EB7829"/>
    <w:rsid w:val="00EC19AD"/>
    <w:rsid w:val="00EC1C51"/>
    <w:rsid w:val="00EC2987"/>
    <w:rsid w:val="00EC2A03"/>
    <w:rsid w:val="00EC3CD4"/>
    <w:rsid w:val="00EC401C"/>
    <w:rsid w:val="00EC4AD6"/>
    <w:rsid w:val="00EC6982"/>
    <w:rsid w:val="00EC7503"/>
    <w:rsid w:val="00EC7B00"/>
    <w:rsid w:val="00EC7C43"/>
    <w:rsid w:val="00EC7F7A"/>
    <w:rsid w:val="00ED05B2"/>
    <w:rsid w:val="00ED1751"/>
    <w:rsid w:val="00ED237F"/>
    <w:rsid w:val="00ED5038"/>
    <w:rsid w:val="00ED5214"/>
    <w:rsid w:val="00ED7D7E"/>
    <w:rsid w:val="00EE1FA9"/>
    <w:rsid w:val="00EE2673"/>
    <w:rsid w:val="00EE30E0"/>
    <w:rsid w:val="00EE354C"/>
    <w:rsid w:val="00EE473A"/>
    <w:rsid w:val="00EE5417"/>
    <w:rsid w:val="00EE5720"/>
    <w:rsid w:val="00EE625B"/>
    <w:rsid w:val="00EE63E0"/>
    <w:rsid w:val="00EE6EB7"/>
    <w:rsid w:val="00EE797E"/>
    <w:rsid w:val="00EE7AE1"/>
    <w:rsid w:val="00EE7E41"/>
    <w:rsid w:val="00EF0D75"/>
    <w:rsid w:val="00EF0DCF"/>
    <w:rsid w:val="00EF14E1"/>
    <w:rsid w:val="00EF1E66"/>
    <w:rsid w:val="00EF27D1"/>
    <w:rsid w:val="00EF2881"/>
    <w:rsid w:val="00EF28D5"/>
    <w:rsid w:val="00EF4E44"/>
    <w:rsid w:val="00EF5181"/>
    <w:rsid w:val="00EF5CCC"/>
    <w:rsid w:val="00F00E72"/>
    <w:rsid w:val="00F015FC"/>
    <w:rsid w:val="00F0367A"/>
    <w:rsid w:val="00F03CD1"/>
    <w:rsid w:val="00F04317"/>
    <w:rsid w:val="00F05BFC"/>
    <w:rsid w:val="00F100E6"/>
    <w:rsid w:val="00F1053C"/>
    <w:rsid w:val="00F116B6"/>
    <w:rsid w:val="00F119D7"/>
    <w:rsid w:val="00F11A2D"/>
    <w:rsid w:val="00F11AF9"/>
    <w:rsid w:val="00F12ED6"/>
    <w:rsid w:val="00F13B70"/>
    <w:rsid w:val="00F14455"/>
    <w:rsid w:val="00F14D46"/>
    <w:rsid w:val="00F14F78"/>
    <w:rsid w:val="00F152EF"/>
    <w:rsid w:val="00F160A7"/>
    <w:rsid w:val="00F17569"/>
    <w:rsid w:val="00F2070F"/>
    <w:rsid w:val="00F20842"/>
    <w:rsid w:val="00F20B02"/>
    <w:rsid w:val="00F212A4"/>
    <w:rsid w:val="00F231FC"/>
    <w:rsid w:val="00F23AE3"/>
    <w:rsid w:val="00F24CF2"/>
    <w:rsid w:val="00F25BDE"/>
    <w:rsid w:val="00F27595"/>
    <w:rsid w:val="00F27E60"/>
    <w:rsid w:val="00F27E8F"/>
    <w:rsid w:val="00F3123E"/>
    <w:rsid w:val="00F32615"/>
    <w:rsid w:val="00F32DFA"/>
    <w:rsid w:val="00F32FC5"/>
    <w:rsid w:val="00F34535"/>
    <w:rsid w:val="00F35525"/>
    <w:rsid w:val="00F36B1F"/>
    <w:rsid w:val="00F36DE8"/>
    <w:rsid w:val="00F379ED"/>
    <w:rsid w:val="00F407BB"/>
    <w:rsid w:val="00F407BF"/>
    <w:rsid w:val="00F41422"/>
    <w:rsid w:val="00F4151C"/>
    <w:rsid w:val="00F4205D"/>
    <w:rsid w:val="00F432CE"/>
    <w:rsid w:val="00F43A80"/>
    <w:rsid w:val="00F43ACC"/>
    <w:rsid w:val="00F44C0E"/>
    <w:rsid w:val="00F457F3"/>
    <w:rsid w:val="00F47E54"/>
    <w:rsid w:val="00F50B0D"/>
    <w:rsid w:val="00F54982"/>
    <w:rsid w:val="00F55253"/>
    <w:rsid w:val="00F55A66"/>
    <w:rsid w:val="00F5695F"/>
    <w:rsid w:val="00F56F92"/>
    <w:rsid w:val="00F57E5E"/>
    <w:rsid w:val="00F6023D"/>
    <w:rsid w:val="00F60FDC"/>
    <w:rsid w:val="00F614FE"/>
    <w:rsid w:val="00F62357"/>
    <w:rsid w:val="00F66F5F"/>
    <w:rsid w:val="00F673D2"/>
    <w:rsid w:val="00F679B8"/>
    <w:rsid w:val="00F7055A"/>
    <w:rsid w:val="00F70987"/>
    <w:rsid w:val="00F70C6E"/>
    <w:rsid w:val="00F71204"/>
    <w:rsid w:val="00F71410"/>
    <w:rsid w:val="00F7176A"/>
    <w:rsid w:val="00F71DDC"/>
    <w:rsid w:val="00F7200F"/>
    <w:rsid w:val="00F72E5C"/>
    <w:rsid w:val="00F730EA"/>
    <w:rsid w:val="00F7398B"/>
    <w:rsid w:val="00F73B42"/>
    <w:rsid w:val="00F74459"/>
    <w:rsid w:val="00F74C25"/>
    <w:rsid w:val="00F74E37"/>
    <w:rsid w:val="00F757DA"/>
    <w:rsid w:val="00F812DC"/>
    <w:rsid w:val="00F815E1"/>
    <w:rsid w:val="00F81D64"/>
    <w:rsid w:val="00F81E3E"/>
    <w:rsid w:val="00F82CDE"/>
    <w:rsid w:val="00F82F1F"/>
    <w:rsid w:val="00F82F2E"/>
    <w:rsid w:val="00F8301F"/>
    <w:rsid w:val="00F8348A"/>
    <w:rsid w:val="00F83B22"/>
    <w:rsid w:val="00F83EC5"/>
    <w:rsid w:val="00F853EF"/>
    <w:rsid w:val="00F8624B"/>
    <w:rsid w:val="00F86526"/>
    <w:rsid w:val="00F86737"/>
    <w:rsid w:val="00F86D9F"/>
    <w:rsid w:val="00F874EA"/>
    <w:rsid w:val="00F8758F"/>
    <w:rsid w:val="00F87B93"/>
    <w:rsid w:val="00F9060E"/>
    <w:rsid w:val="00F90892"/>
    <w:rsid w:val="00F910AA"/>
    <w:rsid w:val="00F93D7A"/>
    <w:rsid w:val="00F94947"/>
    <w:rsid w:val="00F95502"/>
    <w:rsid w:val="00F95CF7"/>
    <w:rsid w:val="00F96183"/>
    <w:rsid w:val="00F967A7"/>
    <w:rsid w:val="00F96A8A"/>
    <w:rsid w:val="00F97468"/>
    <w:rsid w:val="00FA0BD3"/>
    <w:rsid w:val="00FA1861"/>
    <w:rsid w:val="00FA1D8C"/>
    <w:rsid w:val="00FA295D"/>
    <w:rsid w:val="00FA2E02"/>
    <w:rsid w:val="00FA3369"/>
    <w:rsid w:val="00FA3617"/>
    <w:rsid w:val="00FA3AC7"/>
    <w:rsid w:val="00FA4029"/>
    <w:rsid w:val="00FA5BB0"/>
    <w:rsid w:val="00FA6079"/>
    <w:rsid w:val="00FA64A7"/>
    <w:rsid w:val="00FA6510"/>
    <w:rsid w:val="00FA6679"/>
    <w:rsid w:val="00FA7D23"/>
    <w:rsid w:val="00FB0A65"/>
    <w:rsid w:val="00FB0C59"/>
    <w:rsid w:val="00FB0CD2"/>
    <w:rsid w:val="00FB180B"/>
    <w:rsid w:val="00FB24D7"/>
    <w:rsid w:val="00FB26A4"/>
    <w:rsid w:val="00FB3182"/>
    <w:rsid w:val="00FB3735"/>
    <w:rsid w:val="00FB3780"/>
    <w:rsid w:val="00FB481B"/>
    <w:rsid w:val="00FB519A"/>
    <w:rsid w:val="00FB5283"/>
    <w:rsid w:val="00FB59CB"/>
    <w:rsid w:val="00FB5AAB"/>
    <w:rsid w:val="00FB5FC2"/>
    <w:rsid w:val="00FB66C6"/>
    <w:rsid w:val="00FB6991"/>
    <w:rsid w:val="00FB7539"/>
    <w:rsid w:val="00FB7B86"/>
    <w:rsid w:val="00FB7EF9"/>
    <w:rsid w:val="00FC039C"/>
    <w:rsid w:val="00FC0DA1"/>
    <w:rsid w:val="00FC2C8F"/>
    <w:rsid w:val="00FC31B8"/>
    <w:rsid w:val="00FC3E28"/>
    <w:rsid w:val="00FC3FD9"/>
    <w:rsid w:val="00FC4C6D"/>
    <w:rsid w:val="00FC5E2F"/>
    <w:rsid w:val="00FC7C1F"/>
    <w:rsid w:val="00FD1FE3"/>
    <w:rsid w:val="00FD32C9"/>
    <w:rsid w:val="00FD4A60"/>
    <w:rsid w:val="00FD6959"/>
    <w:rsid w:val="00FD7454"/>
    <w:rsid w:val="00FE096C"/>
    <w:rsid w:val="00FE274E"/>
    <w:rsid w:val="00FE3245"/>
    <w:rsid w:val="00FE3571"/>
    <w:rsid w:val="00FE3A79"/>
    <w:rsid w:val="00FE547D"/>
    <w:rsid w:val="00FE6426"/>
    <w:rsid w:val="00FF0061"/>
    <w:rsid w:val="00FF04D6"/>
    <w:rsid w:val="00FF18C5"/>
    <w:rsid w:val="00FF2B9A"/>
    <w:rsid w:val="00FF2DB4"/>
    <w:rsid w:val="00FF4B33"/>
    <w:rsid w:val="00FF5744"/>
    <w:rsid w:val="00FF6DCD"/>
    <w:rsid w:val="00FF781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695F"/>
  </w:style>
  <w:style w:type="paragraph" w:styleId="Ttulo3">
    <w:name w:val="heading 3"/>
    <w:basedOn w:val="Normal"/>
    <w:link w:val="Ttulo3Car"/>
    <w:uiPriority w:val="9"/>
    <w:qFormat/>
    <w:rsid w:val="00DD78F2"/>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DD78F2"/>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paragraph" w:styleId="Ttulo5">
    <w:name w:val="heading 5"/>
    <w:basedOn w:val="Normal"/>
    <w:link w:val="Ttulo5Car"/>
    <w:uiPriority w:val="9"/>
    <w:qFormat/>
    <w:rsid w:val="00DD78F2"/>
    <w:pPr>
      <w:spacing w:before="100" w:beforeAutospacing="1" w:after="100" w:afterAutospacing="1" w:line="240" w:lineRule="auto"/>
      <w:outlineLvl w:val="4"/>
    </w:pPr>
    <w:rPr>
      <w:rFonts w:ascii="Times New Roman" w:eastAsia="Times New Roman" w:hAnsi="Times New Roman" w:cs="Times New Roman"/>
      <w:b/>
      <w:bCs/>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DD78F2"/>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DD78F2"/>
    <w:rPr>
      <w:rFonts w:ascii="Times New Roman" w:eastAsia="Times New Roman" w:hAnsi="Times New Roman" w:cs="Times New Roman"/>
      <w:b/>
      <w:bCs/>
      <w:sz w:val="24"/>
      <w:szCs w:val="24"/>
      <w:lang w:eastAsia="es-ES"/>
    </w:rPr>
  </w:style>
  <w:style w:type="character" w:customStyle="1" w:styleId="Ttulo5Car">
    <w:name w:val="Título 5 Car"/>
    <w:basedOn w:val="Fuentedeprrafopredeter"/>
    <w:link w:val="Ttulo5"/>
    <w:uiPriority w:val="9"/>
    <w:rsid w:val="00DD78F2"/>
    <w:rPr>
      <w:rFonts w:ascii="Times New Roman" w:eastAsia="Times New Roman" w:hAnsi="Times New Roman" w:cs="Times New Roman"/>
      <w:b/>
      <w:bCs/>
      <w:sz w:val="20"/>
      <w:szCs w:val="20"/>
      <w:lang w:eastAsia="es-ES"/>
    </w:rPr>
  </w:style>
  <w:style w:type="paragraph" w:styleId="NormalWeb">
    <w:name w:val="Normal (Web)"/>
    <w:basedOn w:val="Normal"/>
    <w:uiPriority w:val="99"/>
    <w:semiHidden/>
    <w:unhideWhenUsed/>
    <w:rsid w:val="00DD78F2"/>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DD78F2"/>
  </w:style>
  <w:style w:type="character" w:styleId="Hipervnculo">
    <w:name w:val="Hyperlink"/>
    <w:basedOn w:val="Fuentedeprrafopredeter"/>
    <w:uiPriority w:val="99"/>
    <w:semiHidden/>
    <w:unhideWhenUsed/>
    <w:rsid w:val="00DD78F2"/>
    <w:rPr>
      <w:color w:val="0000FF"/>
      <w:u w:val="single"/>
    </w:rPr>
  </w:style>
  <w:style w:type="paragraph" w:styleId="Textodeglobo">
    <w:name w:val="Balloon Text"/>
    <w:basedOn w:val="Normal"/>
    <w:link w:val="TextodegloboCar"/>
    <w:uiPriority w:val="99"/>
    <w:semiHidden/>
    <w:unhideWhenUsed/>
    <w:rsid w:val="00DD78F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D78F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36844647">
      <w:bodyDiv w:val="1"/>
      <w:marLeft w:val="0"/>
      <w:marRight w:val="0"/>
      <w:marTop w:val="0"/>
      <w:marBottom w:val="0"/>
      <w:divBdr>
        <w:top w:val="none" w:sz="0" w:space="0" w:color="auto"/>
        <w:left w:val="none" w:sz="0" w:space="0" w:color="auto"/>
        <w:bottom w:val="none" w:sz="0" w:space="0" w:color="auto"/>
        <w:right w:val="none" w:sz="0" w:space="0" w:color="auto"/>
      </w:divBdr>
      <w:divsChild>
        <w:div w:id="749237077">
          <w:blockQuote w:val="1"/>
          <w:marLeft w:val="0"/>
          <w:marRight w:val="0"/>
          <w:marTop w:val="240"/>
          <w:marBottom w:val="240"/>
          <w:divBdr>
            <w:top w:val="none" w:sz="0" w:space="0" w:color="auto"/>
            <w:left w:val="none" w:sz="0" w:space="0" w:color="auto"/>
            <w:bottom w:val="none" w:sz="0" w:space="0" w:color="auto"/>
            <w:right w:val="none" w:sz="0" w:space="0" w:color="auto"/>
          </w:divBdr>
          <w:divsChild>
            <w:div w:id="357321051">
              <w:blockQuote w:val="1"/>
              <w:marLeft w:val="0"/>
              <w:marRight w:val="0"/>
              <w:marTop w:val="240"/>
              <w:marBottom w:val="240"/>
              <w:divBdr>
                <w:top w:val="none" w:sz="0" w:space="0" w:color="auto"/>
                <w:left w:val="none" w:sz="0" w:space="0" w:color="auto"/>
                <w:bottom w:val="none" w:sz="0" w:space="0" w:color="auto"/>
                <w:right w:val="none" w:sz="0" w:space="0" w:color="auto"/>
              </w:divBdr>
            </w:div>
            <w:div w:id="927423299">
              <w:blockQuote w:val="1"/>
              <w:marLeft w:val="0"/>
              <w:marRight w:val="0"/>
              <w:marTop w:val="240"/>
              <w:marBottom w:val="240"/>
              <w:divBdr>
                <w:top w:val="none" w:sz="0" w:space="0" w:color="auto"/>
                <w:left w:val="none" w:sz="0" w:space="0" w:color="auto"/>
                <w:bottom w:val="none" w:sz="0" w:space="0" w:color="auto"/>
                <w:right w:val="none" w:sz="0" w:space="0" w:color="auto"/>
              </w:divBdr>
            </w:div>
            <w:div w:id="733625015">
              <w:blockQuote w:val="1"/>
              <w:marLeft w:val="0"/>
              <w:marRight w:val="0"/>
              <w:marTop w:val="240"/>
              <w:marBottom w:val="240"/>
              <w:divBdr>
                <w:top w:val="none" w:sz="0" w:space="0" w:color="auto"/>
                <w:left w:val="none" w:sz="0" w:space="0" w:color="auto"/>
                <w:bottom w:val="none" w:sz="0" w:space="0" w:color="auto"/>
                <w:right w:val="none" w:sz="0" w:space="0" w:color="auto"/>
              </w:divBdr>
            </w:div>
            <w:div w:id="271672679">
              <w:blockQuote w:val="1"/>
              <w:marLeft w:val="0"/>
              <w:marRight w:val="0"/>
              <w:marTop w:val="240"/>
              <w:marBottom w:val="240"/>
              <w:divBdr>
                <w:top w:val="none" w:sz="0" w:space="0" w:color="auto"/>
                <w:left w:val="none" w:sz="0" w:space="0" w:color="auto"/>
                <w:bottom w:val="none" w:sz="0" w:space="0" w:color="auto"/>
                <w:right w:val="none" w:sz="0" w:space="0" w:color="auto"/>
              </w:divBdr>
            </w:div>
            <w:div w:id="1022248450">
              <w:blockQuote w:val="1"/>
              <w:marLeft w:val="0"/>
              <w:marRight w:val="0"/>
              <w:marTop w:val="240"/>
              <w:marBottom w:val="240"/>
              <w:divBdr>
                <w:top w:val="none" w:sz="0" w:space="0" w:color="auto"/>
                <w:left w:val="none" w:sz="0" w:space="0" w:color="auto"/>
                <w:bottom w:val="none" w:sz="0" w:space="0" w:color="auto"/>
                <w:right w:val="none" w:sz="0" w:space="0" w:color="auto"/>
              </w:divBdr>
            </w:div>
            <w:div w:id="85349560">
              <w:blockQuote w:val="1"/>
              <w:marLeft w:val="0"/>
              <w:marRight w:val="0"/>
              <w:marTop w:val="240"/>
              <w:marBottom w:val="240"/>
              <w:divBdr>
                <w:top w:val="none" w:sz="0" w:space="0" w:color="auto"/>
                <w:left w:val="none" w:sz="0" w:space="0" w:color="auto"/>
                <w:bottom w:val="none" w:sz="0" w:space="0" w:color="auto"/>
                <w:right w:val="none" w:sz="0" w:space="0" w:color="auto"/>
              </w:divBdr>
              <w:divsChild>
                <w:div w:id="1184124821">
                  <w:blockQuote w:val="1"/>
                  <w:marLeft w:val="0"/>
                  <w:marRight w:val="0"/>
                  <w:marTop w:val="240"/>
                  <w:marBottom w:val="240"/>
                  <w:divBdr>
                    <w:top w:val="none" w:sz="0" w:space="0" w:color="auto"/>
                    <w:left w:val="none" w:sz="0" w:space="0" w:color="auto"/>
                    <w:bottom w:val="none" w:sz="0" w:space="0" w:color="auto"/>
                    <w:right w:val="none" w:sz="0" w:space="0" w:color="auto"/>
                  </w:divBdr>
                </w:div>
                <w:div w:id="555046085">
                  <w:blockQuote w:val="1"/>
                  <w:marLeft w:val="0"/>
                  <w:marRight w:val="0"/>
                  <w:marTop w:val="240"/>
                  <w:marBottom w:val="240"/>
                  <w:divBdr>
                    <w:top w:val="none" w:sz="0" w:space="0" w:color="auto"/>
                    <w:left w:val="none" w:sz="0" w:space="0" w:color="auto"/>
                    <w:bottom w:val="none" w:sz="0" w:space="0" w:color="auto"/>
                    <w:right w:val="none" w:sz="0" w:space="0" w:color="auto"/>
                  </w:divBdr>
                </w:div>
                <w:div w:id="1056201094">
                  <w:blockQuote w:val="1"/>
                  <w:marLeft w:val="0"/>
                  <w:marRight w:val="0"/>
                  <w:marTop w:val="240"/>
                  <w:marBottom w:val="240"/>
                  <w:divBdr>
                    <w:top w:val="none" w:sz="0" w:space="0" w:color="auto"/>
                    <w:left w:val="none" w:sz="0" w:space="0" w:color="auto"/>
                    <w:bottom w:val="none" w:sz="0" w:space="0" w:color="auto"/>
                    <w:right w:val="none" w:sz="0" w:space="0" w:color="auto"/>
                  </w:divBdr>
                  <w:divsChild>
                    <w:div w:id="584535339">
                      <w:blockQuote w:val="1"/>
                      <w:marLeft w:val="0"/>
                      <w:marRight w:val="0"/>
                      <w:marTop w:val="240"/>
                      <w:marBottom w:val="240"/>
                      <w:divBdr>
                        <w:top w:val="none" w:sz="0" w:space="0" w:color="auto"/>
                        <w:left w:val="none" w:sz="0" w:space="0" w:color="auto"/>
                        <w:bottom w:val="none" w:sz="0" w:space="0" w:color="auto"/>
                        <w:right w:val="none" w:sz="0" w:space="0" w:color="auto"/>
                      </w:divBdr>
                    </w:div>
                    <w:div w:id="2001611747">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327439651">
              <w:blockQuote w:val="1"/>
              <w:marLeft w:val="0"/>
              <w:marRight w:val="0"/>
              <w:marTop w:val="240"/>
              <w:marBottom w:val="240"/>
              <w:divBdr>
                <w:top w:val="none" w:sz="0" w:space="0" w:color="auto"/>
                <w:left w:val="none" w:sz="0" w:space="0" w:color="auto"/>
                <w:bottom w:val="none" w:sz="0" w:space="0" w:color="auto"/>
                <w:right w:val="none" w:sz="0" w:space="0" w:color="auto"/>
              </w:divBdr>
              <w:divsChild>
                <w:div w:id="1163396478">
                  <w:blockQuote w:val="1"/>
                  <w:marLeft w:val="0"/>
                  <w:marRight w:val="0"/>
                  <w:marTop w:val="240"/>
                  <w:marBottom w:val="240"/>
                  <w:divBdr>
                    <w:top w:val="none" w:sz="0" w:space="0" w:color="auto"/>
                    <w:left w:val="none" w:sz="0" w:space="0" w:color="auto"/>
                    <w:bottom w:val="none" w:sz="0" w:space="0" w:color="auto"/>
                    <w:right w:val="none" w:sz="0" w:space="0" w:color="auto"/>
                  </w:divBdr>
                </w:div>
                <w:div w:id="1316108546">
                  <w:blockQuote w:val="1"/>
                  <w:marLeft w:val="0"/>
                  <w:marRight w:val="0"/>
                  <w:marTop w:val="240"/>
                  <w:marBottom w:val="240"/>
                  <w:divBdr>
                    <w:top w:val="none" w:sz="0" w:space="0" w:color="auto"/>
                    <w:left w:val="none" w:sz="0" w:space="0" w:color="auto"/>
                    <w:bottom w:val="none" w:sz="0" w:space="0" w:color="auto"/>
                    <w:right w:val="none" w:sz="0" w:space="0" w:color="auto"/>
                  </w:divBdr>
                </w:div>
                <w:div w:id="748967649">
                  <w:blockQuote w:val="1"/>
                  <w:marLeft w:val="0"/>
                  <w:marRight w:val="0"/>
                  <w:marTop w:val="240"/>
                  <w:marBottom w:val="240"/>
                  <w:divBdr>
                    <w:top w:val="none" w:sz="0" w:space="0" w:color="auto"/>
                    <w:left w:val="none" w:sz="0" w:space="0" w:color="auto"/>
                    <w:bottom w:val="none" w:sz="0" w:space="0" w:color="auto"/>
                    <w:right w:val="none" w:sz="0" w:space="0" w:color="auto"/>
                  </w:divBdr>
                  <w:divsChild>
                    <w:div w:id="261188698">
                      <w:blockQuote w:val="1"/>
                      <w:marLeft w:val="0"/>
                      <w:marRight w:val="0"/>
                      <w:marTop w:val="240"/>
                      <w:marBottom w:val="240"/>
                      <w:divBdr>
                        <w:top w:val="none" w:sz="0" w:space="0" w:color="auto"/>
                        <w:left w:val="none" w:sz="0" w:space="0" w:color="auto"/>
                        <w:bottom w:val="none" w:sz="0" w:space="0" w:color="auto"/>
                        <w:right w:val="none" w:sz="0" w:space="0" w:color="auto"/>
                      </w:divBdr>
                    </w:div>
                    <w:div w:id="1936667583">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850294958">
              <w:blockQuote w:val="1"/>
              <w:marLeft w:val="0"/>
              <w:marRight w:val="0"/>
              <w:marTop w:val="240"/>
              <w:marBottom w:val="240"/>
              <w:divBdr>
                <w:top w:val="none" w:sz="0" w:space="0" w:color="auto"/>
                <w:left w:val="none" w:sz="0" w:space="0" w:color="auto"/>
                <w:bottom w:val="none" w:sz="0" w:space="0" w:color="auto"/>
                <w:right w:val="none" w:sz="0" w:space="0" w:color="auto"/>
              </w:divBdr>
              <w:divsChild>
                <w:div w:id="1222181401">
                  <w:blockQuote w:val="1"/>
                  <w:marLeft w:val="0"/>
                  <w:marRight w:val="0"/>
                  <w:marTop w:val="240"/>
                  <w:marBottom w:val="240"/>
                  <w:divBdr>
                    <w:top w:val="none" w:sz="0" w:space="0" w:color="auto"/>
                    <w:left w:val="none" w:sz="0" w:space="0" w:color="auto"/>
                    <w:bottom w:val="none" w:sz="0" w:space="0" w:color="auto"/>
                    <w:right w:val="none" w:sz="0" w:space="0" w:color="auto"/>
                  </w:divBdr>
                </w:div>
                <w:div w:id="35738151">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555195465">
              <w:blockQuote w:val="1"/>
              <w:marLeft w:val="0"/>
              <w:marRight w:val="0"/>
              <w:marTop w:val="240"/>
              <w:marBottom w:val="240"/>
              <w:divBdr>
                <w:top w:val="none" w:sz="0" w:space="0" w:color="auto"/>
                <w:left w:val="none" w:sz="0" w:space="0" w:color="auto"/>
                <w:bottom w:val="none" w:sz="0" w:space="0" w:color="auto"/>
                <w:right w:val="none" w:sz="0" w:space="0" w:color="auto"/>
              </w:divBdr>
            </w:div>
            <w:div w:id="635914630">
              <w:blockQuote w:val="1"/>
              <w:marLeft w:val="0"/>
              <w:marRight w:val="0"/>
              <w:marTop w:val="240"/>
              <w:marBottom w:val="240"/>
              <w:divBdr>
                <w:top w:val="none" w:sz="0" w:space="0" w:color="auto"/>
                <w:left w:val="none" w:sz="0" w:space="0" w:color="auto"/>
                <w:bottom w:val="none" w:sz="0" w:space="0" w:color="auto"/>
                <w:right w:val="none" w:sz="0" w:space="0" w:color="auto"/>
              </w:divBdr>
            </w:div>
            <w:div w:id="2017002847">
              <w:blockQuote w:val="1"/>
              <w:marLeft w:val="0"/>
              <w:marRight w:val="0"/>
              <w:marTop w:val="240"/>
              <w:marBottom w:val="240"/>
              <w:divBdr>
                <w:top w:val="none" w:sz="0" w:space="0" w:color="auto"/>
                <w:left w:val="none" w:sz="0" w:space="0" w:color="auto"/>
                <w:bottom w:val="none" w:sz="0" w:space="0" w:color="auto"/>
                <w:right w:val="none" w:sz="0" w:space="0" w:color="auto"/>
              </w:divBdr>
              <w:divsChild>
                <w:div w:id="1110509169">
                  <w:blockQuote w:val="1"/>
                  <w:marLeft w:val="0"/>
                  <w:marRight w:val="0"/>
                  <w:marTop w:val="240"/>
                  <w:marBottom w:val="240"/>
                  <w:divBdr>
                    <w:top w:val="none" w:sz="0" w:space="0" w:color="auto"/>
                    <w:left w:val="none" w:sz="0" w:space="0" w:color="auto"/>
                    <w:bottom w:val="none" w:sz="0" w:space="0" w:color="auto"/>
                    <w:right w:val="none" w:sz="0" w:space="0" w:color="auto"/>
                  </w:divBdr>
                </w:div>
                <w:div w:id="655954895">
                  <w:blockQuote w:val="1"/>
                  <w:marLeft w:val="0"/>
                  <w:marRight w:val="0"/>
                  <w:marTop w:val="240"/>
                  <w:marBottom w:val="240"/>
                  <w:divBdr>
                    <w:top w:val="none" w:sz="0" w:space="0" w:color="auto"/>
                    <w:left w:val="none" w:sz="0" w:space="0" w:color="auto"/>
                    <w:bottom w:val="none" w:sz="0" w:space="0" w:color="auto"/>
                    <w:right w:val="none" w:sz="0" w:space="0" w:color="auto"/>
                  </w:divBdr>
                </w:div>
                <w:div w:id="15616176">
                  <w:blockQuote w:val="1"/>
                  <w:marLeft w:val="0"/>
                  <w:marRight w:val="0"/>
                  <w:marTop w:val="240"/>
                  <w:marBottom w:val="240"/>
                  <w:divBdr>
                    <w:top w:val="none" w:sz="0" w:space="0" w:color="auto"/>
                    <w:left w:val="none" w:sz="0" w:space="0" w:color="auto"/>
                    <w:bottom w:val="none" w:sz="0" w:space="0" w:color="auto"/>
                    <w:right w:val="none" w:sz="0" w:space="0" w:color="auto"/>
                  </w:divBdr>
                </w:div>
                <w:div w:id="912202797">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309290623">
              <w:blockQuote w:val="1"/>
              <w:marLeft w:val="0"/>
              <w:marRight w:val="0"/>
              <w:marTop w:val="240"/>
              <w:marBottom w:val="240"/>
              <w:divBdr>
                <w:top w:val="none" w:sz="0" w:space="0" w:color="auto"/>
                <w:left w:val="none" w:sz="0" w:space="0" w:color="auto"/>
                <w:bottom w:val="none" w:sz="0" w:space="0" w:color="auto"/>
                <w:right w:val="none" w:sz="0" w:space="0" w:color="auto"/>
              </w:divBdr>
            </w:div>
            <w:div w:id="809833217">
              <w:blockQuote w:val="1"/>
              <w:marLeft w:val="0"/>
              <w:marRight w:val="0"/>
              <w:marTop w:val="240"/>
              <w:marBottom w:val="240"/>
              <w:divBdr>
                <w:top w:val="none" w:sz="0" w:space="0" w:color="auto"/>
                <w:left w:val="none" w:sz="0" w:space="0" w:color="auto"/>
                <w:bottom w:val="none" w:sz="0" w:space="0" w:color="auto"/>
                <w:right w:val="none" w:sz="0" w:space="0" w:color="auto"/>
              </w:divBdr>
            </w:div>
            <w:div w:id="531498583">
              <w:blockQuote w:val="1"/>
              <w:marLeft w:val="0"/>
              <w:marRight w:val="0"/>
              <w:marTop w:val="240"/>
              <w:marBottom w:val="240"/>
              <w:divBdr>
                <w:top w:val="none" w:sz="0" w:space="0" w:color="auto"/>
                <w:left w:val="none" w:sz="0" w:space="0" w:color="auto"/>
                <w:bottom w:val="none" w:sz="0" w:space="0" w:color="auto"/>
                <w:right w:val="none" w:sz="0" w:space="0" w:color="auto"/>
              </w:divBdr>
            </w:div>
            <w:div w:id="1058554567">
              <w:blockQuote w:val="1"/>
              <w:marLeft w:val="0"/>
              <w:marRight w:val="0"/>
              <w:marTop w:val="240"/>
              <w:marBottom w:val="240"/>
              <w:divBdr>
                <w:top w:val="none" w:sz="0" w:space="0" w:color="auto"/>
                <w:left w:val="none" w:sz="0" w:space="0" w:color="auto"/>
                <w:bottom w:val="none" w:sz="0" w:space="0" w:color="auto"/>
                <w:right w:val="none" w:sz="0" w:space="0" w:color="auto"/>
              </w:divBdr>
            </w:div>
            <w:div w:id="1519807961">
              <w:blockQuote w:val="1"/>
              <w:marLeft w:val="0"/>
              <w:marRight w:val="0"/>
              <w:marTop w:val="240"/>
              <w:marBottom w:val="240"/>
              <w:divBdr>
                <w:top w:val="none" w:sz="0" w:space="0" w:color="auto"/>
                <w:left w:val="none" w:sz="0" w:space="0" w:color="auto"/>
                <w:bottom w:val="none" w:sz="0" w:space="0" w:color="auto"/>
                <w:right w:val="none" w:sz="0" w:space="0" w:color="auto"/>
              </w:divBdr>
            </w:div>
            <w:div w:id="948007891">
              <w:blockQuote w:val="1"/>
              <w:marLeft w:val="0"/>
              <w:marRight w:val="0"/>
              <w:marTop w:val="240"/>
              <w:marBottom w:val="240"/>
              <w:divBdr>
                <w:top w:val="none" w:sz="0" w:space="0" w:color="auto"/>
                <w:left w:val="none" w:sz="0" w:space="0" w:color="auto"/>
                <w:bottom w:val="none" w:sz="0" w:space="0" w:color="auto"/>
                <w:right w:val="none" w:sz="0" w:space="0" w:color="auto"/>
              </w:divBdr>
            </w:div>
            <w:div w:id="532497902">
              <w:blockQuote w:val="1"/>
              <w:marLeft w:val="0"/>
              <w:marRight w:val="0"/>
              <w:marTop w:val="240"/>
              <w:marBottom w:val="240"/>
              <w:divBdr>
                <w:top w:val="none" w:sz="0" w:space="0" w:color="auto"/>
                <w:left w:val="none" w:sz="0" w:space="0" w:color="auto"/>
                <w:bottom w:val="none" w:sz="0" w:space="0" w:color="auto"/>
                <w:right w:val="none" w:sz="0" w:space="0" w:color="auto"/>
              </w:divBdr>
            </w:div>
            <w:div w:id="1773430087">
              <w:blockQuote w:val="1"/>
              <w:marLeft w:val="0"/>
              <w:marRight w:val="0"/>
              <w:marTop w:val="240"/>
              <w:marBottom w:val="240"/>
              <w:divBdr>
                <w:top w:val="none" w:sz="0" w:space="0" w:color="auto"/>
                <w:left w:val="none" w:sz="0" w:space="0" w:color="auto"/>
                <w:bottom w:val="none" w:sz="0" w:space="0" w:color="auto"/>
                <w:right w:val="none" w:sz="0" w:space="0" w:color="auto"/>
              </w:divBdr>
            </w:div>
            <w:div w:id="18971623">
              <w:blockQuote w:val="1"/>
              <w:marLeft w:val="0"/>
              <w:marRight w:val="0"/>
              <w:marTop w:val="240"/>
              <w:marBottom w:val="240"/>
              <w:divBdr>
                <w:top w:val="none" w:sz="0" w:space="0" w:color="auto"/>
                <w:left w:val="none" w:sz="0" w:space="0" w:color="auto"/>
                <w:bottom w:val="none" w:sz="0" w:space="0" w:color="auto"/>
                <w:right w:val="none" w:sz="0" w:space="0" w:color="auto"/>
              </w:divBdr>
            </w:div>
            <w:div w:id="18246308">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scuelanauticanavarra.com/quintoreal/index.php?option=com_content&amp;view=article&amp;id=108:aism&amp;catid=42:normativa&amp;Itemid=77" TargetMode="External"/><Relationship Id="rId13" Type="http://schemas.openxmlformats.org/officeDocument/2006/relationships/image" Target="media/image3.gif"/><Relationship Id="rId18" Type="http://schemas.openxmlformats.org/officeDocument/2006/relationships/image" Target="media/image8.gif"/><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www.escuelanauticanavarra.com/quintoreal/index.php?option=com_content&amp;view=article&amp;id=108:aism&amp;catid=42:normativa&amp;Itemid=77" TargetMode="External"/><Relationship Id="rId7" Type="http://schemas.openxmlformats.org/officeDocument/2006/relationships/hyperlink" Target="http://www.escuelanauticanavarra.com/quintoreal/index.php?option=com_content&amp;view=article&amp;id=108:aism&amp;catid=42:normativa&amp;Itemid=77" TargetMode="External"/><Relationship Id="rId12" Type="http://schemas.openxmlformats.org/officeDocument/2006/relationships/hyperlink" Target="http://www.escuelanauticanavarra.com/quintoreal/index.php?option=com_content&amp;view=article&amp;id=108:aism&amp;catid=42:normativa&amp;Itemid=77" TargetMode="External"/><Relationship Id="rId17" Type="http://schemas.openxmlformats.org/officeDocument/2006/relationships/image" Target="media/image7.gif"/><Relationship Id="rId25" Type="http://schemas.openxmlformats.org/officeDocument/2006/relationships/image" Target="media/image9.gif"/><Relationship Id="rId2" Type="http://schemas.openxmlformats.org/officeDocument/2006/relationships/settings" Target="settings.xml"/><Relationship Id="rId16" Type="http://schemas.openxmlformats.org/officeDocument/2006/relationships/image" Target="media/image6.gif"/><Relationship Id="rId20" Type="http://schemas.openxmlformats.org/officeDocument/2006/relationships/hyperlink" Target="http://www.escuelanauticanavarra.com/quintoreal/index.php?option=com_content&amp;view=article&amp;id=108:aism&amp;catid=42:normativa&amp;Itemid=77" TargetMode="External"/><Relationship Id="rId1" Type="http://schemas.openxmlformats.org/officeDocument/2006/relationships/styles" Target="styles.xml"/><Relationship Id="rId6" Type="http://schemas.openxmlformats.org/officeDocument/2006/relationships/hyperlink" Target="http://www.escuelanauticanavarra.com/quintoreal/index.php?option=com_content&amp;view=article&amp;id=108:aism&amp;catid=42:normativa&amp;Itemid=77" TargetMode="External"/><Relationship Id="rId11" Type="http://schemas.openxmlformats.org/officeDocument/2006/relationships/hyperlink" Target="http://www.escuelanauticanavarra.com/quintoreal/index.php?option=com_content&amp;view=article&amp;id=108:aism&amp;catid=42:normativa&amp;Itemid=77" TargetMode="External"/><Relationship Id="rId24" Type="http://schemas.openxmlformats.org/officeDocument/2006/relationships/hyperlink" Target="http://www.escuelanauticanavarra.com/quintoreal/index.php?option=com_content&amp;view=article&amp;id=108:aism&amp;catid=42:normativa&amp;Itemid=77" TargetMode="External"/><Relationship Id="rId5" Type="http://schemas.openxmlformats.org/officeDocument/2006/relationships/hyperlink" Target="http://www.escuelanauticanavarra.com/quintoreal/index.php?option=com_content&amp;view=article&amp;id=108:aism&amp;catid=42:normativa&amp;Itemid=77" TargetMode="External"/><Relationship Id="rId15" Type="http://schemas.openxmlformats.org/officeDocument/2006/relationships/image" Target="media/image5.gif"/><Relationship Id="rId23" Type="http://schemas.openxmlformats.org/officeDocument/2006/relationships/hyperlink" Target="http://www.escuelanauticanavarra.com/quintoreal/index.php?option=com_content&amp;view=article&amp;id=108:aism&amp;catid=42:normativa&amp;Itemid=77" TargetMode="External"/><Relationship Id="rId10" Type="http://schemas.openxmlformats.org/officeDocument/2006/relationships/image" Target="media/image2.gif"/><Relationship Id="rId19" Type="http://schemas.openxmlformats.org/officeDocument/2006/relationships/hyperlink" Target="http://www.escuelanauticanavarra.com/quintoreal/index.php?option=com_content&amp;view=article&amp;id=108:aism&amp;catid=42:normativa&amp;Itemid=77" TargetMode="External"/><Relationship Id="rId4" Type="http://schemas.openxmlformats.org/officeDocument/2006/relationships/hyperlink" Target="http://www.escuelanauticanavarra.com/quintoreal/index.php?option=com_content&amp;view=article&amp;id=108:aism&amp;catid=42:normativa&amp;Itemid=77" TargetMode="External"/><Relationship Id="rId9" Type="http://schemas.openxmlformats.org/officeDocument/2006/relationships/image" Target="media/image1.gif"/><Relationship Id="rId14" Type="http://schemas.openxmlformats.org/officeDocument/2006/relationships/image" Target="media/image4.gif"/><Relationship Id="rId22" Type="http://schemas.openxmlformats.org/officeDocument/2006/relationships/hyperlink" Target="http://www.escuelanauticanavarra.com/quintoreal/index.php?option=com_content&amp;view=article&amp;id=108:aism&amp;catid=42:normativa&amp;Itemid=77" TargetMode="External"/><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Pages>10</Pages>
  <Words>2376</Words>
  <Characters>13072</Characters>
  <Application>Microsoft Office Word</Application>
  <DocSecurity>0</DocSecurity>
  <Lines>108</Lines>
  <Paragraphs>30</Paragraphs>
  <ScaleCrop>false</ScaleCrop>
  <Company/>
  <LinksUpToDate>false</LinksUpToDate>
  <CharactersWithSpaces>15418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coreProperties>
</file>